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28" w:rsidRDefault="004C210C" w:rsidP="004C210C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034928">
        <w:rPr>
          <w:rFonts w:ascii="Times New Roman" w:hAnsi="Times New Roman"/>
          <w:b/>
          <w:sz w:val="28"/>
          <w:szCs w:val="36"/>
        </w:rPr>
        <w:t>Аналитическая справка</w:t>
      </w:r>
    </w:p>
    <w:p w:rsidR="004C210C" w:rsidRPr="00034928" w:rsidRDefault="004C210C" w:rsidP="004C210C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034928">
        <w:rPr>
          <w:rFonts w:ascii="Times New Roman" w:hAnsi="Times New Roman"/>
          <w:b/>
          <w:sz w:val="28"/>
          <w:szCs w:val="36"/>
        </w:rPr>
        <w:t>«Анализ кадрового обеспечения и оценка уровня заработной платы педагогических работников учреждений дополнительного образования</w:t>
      </w:r>
      <w:r w:rsidR="00354F54">
        <w:rPr>
          <w:rFonts w:ascii="Times New Roman" w:hAnsi="Times New Roman"/>
          <w:b/>
          <w:sz w:val="28"/>
          <w:szCs w:val="36"/>
        </w:rPr>
        <w:t xml:space="preserve">, подведомственных министерству образования </w:t>
      </w:r>
      <w:r w:rsidRPr="00034928">
        <w:rPr>
          <w:rFonts w:ascii="Times New Roman" w:hAnsi="Times New Roman"/>
          <w:b/>
          <w:sz w:val="28"/>
          <w:szCs w:val="36"/>
        </w:rPr>
        <w:t>Ставропольско</w:t>
      </w:r>
      <w:r w:rsidR="00354F54">
        <w:rPr>
          <w:rFonts w:ascii="Times New Roman" w:hAnsi="Times New Roman"/>
          <w:b/>
          <w:sz w:val="28"/>
          <w:szCs w:val="36"/>
        </w:rPr>
        <w:t>го</w:t>
      </w:r>
      <w:r w:rsidRPr="00034928">
        <w:rPr>
          <w:rFonts w:ascii="Times New Roman" w:hAnsi="Times New Roman"/>
          <w:b/>
          <w:sz w:val="28"/>
          <w:szCs w:val="36"/>
        </w:rPr>
        <w:t xml:space="preserve"> кра</w:t>
      </w:r>
      <w:r w:rsidR="00354F54">
        <w:rPr>
          <w:rFonts w:ascii="Times New Roman" w:hAnsi="Times New Roman"/>
          <w:b/>
          <w:sz w:val="28"/>
          <w:szCs w:val="36"/>
        </w:rPr>
        <w:t>я</w:t>
      </w:r>
      <w:r w:rsidRPr="00034928">
        <w:rPr>
          <w:rFonts w:ascii="Times New Roman" w:hAnsi="Times New Roman"/>
          <w:b/>
          <w:sz w:val="28"/>
          <w:szCs w:val="36"/>
        </w:rPr>
        <w:t>».</w:t>
      </w:r>
    </w:p>
    <w:p w:rsidR="00034928" w:rsidRDefault="00034928" w:rsidP="00034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B34" w:rsidRDefault="008A1B34" w:rsidP="00034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10C" w:rsidRDefault="004C210C" w:rsidP="008A1B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8A1B34" w:rsidRDefault="008A1B34" w:rsidP="004C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10C" w:rsidRPr="00632A52" w:rsidRDefault="004C210C" w:rsidP="004C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государственного задания ГБУ ДПО «Ставропольский краевой институт развития образования, повышения квалификации и переподготовк</w:t>
      </w:r>
      <w:r w:rsidR="00034928">
        <w:rPr>
          <w:rFonts w:ascii="Times New Roman" w:hAnsi="Times New Roman"/>
          <w:sz w:val="28"/>
          <w:szCs w:val="28"/>
        </w:rPr>
        <w:t>и работников образования» на 2020</w:t>
      </w:r>
      <w:r>
        <w:rPr>
          <w:rFonts w:ascii="Times New Roman" w:hAnsi="Times New Roman"/>
          <w:sz w:val="28"/>
          <w:szCs w:val="28"/>
        </w:rPr>
        <w:t xml:space="preserve"> год по государственной услуге (работе) научно-методическим центром инновационного развития и мониторинга СКИРО ПК и ПРО проведен мониторинг кадрового </w:t>
      </w:r>
      <w:r w:rsidRPr="00632A52">
        <w:rPr>
          <w:rFonts w:ascii="Times New Roman" w:hAnsi="Times New Roman"/>
          <w:sz w:val="28"/>
          <w:szCs w:val="28"/>
        </w:rPr>
        <w:t>обеспечения организаций дополнительного образования (далее – ОДО) Ставропольского края.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A52">
        <w:rPr>
          <w:rFonts w:ascii="Times New Roman" w:hAnsi="Times New Roman"/>
          <w:sz w:val="28"/>
          <w:szCs w:val="28"/>
        </w:rPr>
        <w:t>В мониторинге используются ст</w:t>
      </w:r>
      <w:r w:rsidR="00034928" w:rsidRPr="00632A52">
        <w:rPr>
          <w:rFonts w:ascii="Times New Roman" w:hAnsi="Times New Roman"/>
          <w:sz w:val="28"/>
          <w:szCs w:val="28"/>
        </w:rPr>
        <w:t>атистические данные на 01.01.2020</w:t>
      </w:r>
      <w:r w:rsidRPr="00632A52">
        <w:rPr>
          <w:rFonts w:ascii="Times New Roman" w:hAnsi="Times New Roman"/>
          <w:sz w:val="28"/>
          <w:szCs w:val="28"/>
        </w:rPr>
        <w:t xml:space="preserve"> года. (</w:t>
      </w:r>
      <w:r w:rsidRPr="00632A52">
        <w:rPr>
          <w:rFonts w:ascii="Times New Roman" w:hAnsi="Times New Roman" w:cs="Times New Roman"/>
          <w:sz w:val="28"/>
          <w:szCs w:val="28"/>
        </w:rPr>
        <w:t>Форма № 1-ДО, утверждённая Приказом</w:t>
      </w:r>
      <w:r>
        <w:rPr>
          <w:rFonts w:ascii="Times New Roman" w:hAnsi="Times New Roman" w:cs="Times New Roman"/>
          <w:sz w:val="28"/>
          <w:szCs w:val="28"/>
        </w:rPr>
        <w:t xml:space="preserve"> Росстата «Об утверждении формы от 14.01.2013 №12</w:t>
      </w:r>
      <w:r>
        <w:rPr>
          <w:rFonts w:ascii="Times New Roman" w:hAnsi="Times New Roman"/>
          <w:sz w:val="28"/>
          <w:szCs w:val="28"/>
        </w:rPr>
        <w:t>).</w:t>
      </w:r>
    </w:p>
    <w:p w:rsidR="007A12C0" w:rsidRDefault="00354F54" w:rsidP="000B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7A12C0" w:rsidRPr="000B2B76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A12C0" w:rsidRPr="000B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включены данные 135 </w:t>
      </w:r>
      <w:r w:rsidR="007A12C0" w:rsidRPr="000B2B76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12C0" w:rsidRPr="000B2B7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подведомственных министерству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54" w:rsidRDefault="00354F54" w:rsidP="007A12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12C0" w:rsidRDefault="007A12C0" w:rsidP="007A12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1. Сведения об организациях дополнительного образования (статистика на 01.01.2020 г.)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651"/>
        <w:gridCol w:w="998"/>
        <w:gridCol w:w="1246"/>
        <w:gridCol w:w="1081"/>
        <w:gridCol w:w="918"/>
        <w:gridCol w:w="980"/>
        <w:gridCol w:w="881"/>
        <w:gridCol w:w="816"/>
      </w:tblGrid>
      <w:tr w:rsidR="007A12C0" w:rsidRPr="00D36A8E" w:rsidTr="000D3078">
        <w:tc>
          <w:tcPr>
            <w:tcW w:w="2651" w:type="dxa"/>
            <w:vAlign w:val="center"/>
          </w:tcPr>
          <w:p w:rsidR="007A12C0" w:rsidRPr="00D36A8E" w:rsidRDefault="007A12C0" w:rsidP="000D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8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1246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1081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  <w:tc>
          <w:tcPr>
            <w:tcW w:w="918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980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</w:p>
        </w:tc>
        <w:tc>
          <w:tcPr>
            <w:tcW w:w="881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2018</w:t>
            </w:r>
          </w:p>
        </w:tc>
        <w:tc>
          <w:tcPr>
            <w:tcW w:w="816" w:type="dxa"/>
            <w:vAlign w:val="center"/>
          </w:tcPr>
          <w:p w:rsidR="007A12C0" w:rsidRPr="008107E4" w:rsidRDefault="007A12C0" w:rsidP="000D30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0"/>
                <w:szCs w:val="24"/>
              </w:rPr>
              <w:t>2019</w:t>
            </w:r>
          </w:p>
        </w:tc>
      </w:tr>
      <w:tr w:rsidR="007A12C0" w:rsidRPr="00D36A8E" w:rsidTr="000D3078">
        <w:tc>
          <w:tcPr>
            <w:tcW w:w="2651" w:type="dxa"/>
            <w:vAlign w:val="center"/>
          </w:tcPr>
          <w:p w:rsidR="007A12C0" w:rsidRPr="00D36A8E" w:rsidRDefault="007A12C0" w:rsidP="000D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8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(ед.)</w:t>
            </w:r>
          </w:p>
        </w:tc>
        <w:tc>
          <w:tcPr>
            <w:tcW w:w="998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46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81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18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80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81" w:type="dxa"/>
            <w:vAlign w:val="center"/>
          </w:tcPr>
          <w:p w:rsidR="007A12C0" w:rsidRPr="00C3429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16" w:type="dxa"/>
            <w:vAlign w:val="center"/>
          </w:tcPr>
          <w:p w:rsidR="007A12C0" w:rsidRPr="00795CB4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A12C0" w:rsidRPr="00D36A8E" w:rsidTr="000D3078">
        <w:tc>
          <w:tcPr>
            <w:tcW w:w="2651" w:type="dxa"/>
            <w:vAlign w:val="center"/>
          </w:tcPr>
          <w:p w:rsidR="007A12C0" w:rsidRPr="00D36A8E" w:rsidRDefault="007A12C0" w:rsidP="000D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8E">
              <w:rPr>
                <w:rFonts w:ascii="Times New Roman" w:hAnsi="Times New Roman" w:cs="Times New Roman"/>
                <w:sz w:val="24"/>
                <w:szCs w:val="24"/>
              </w:rPr>
              <w:t>Охват детей (чел.)</w:t>
            </w:r>
          </w:p>
        </w:tc>
        <w:tc>
          <w:tcPr>
            <w:tcW w:w="998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103315</w:t>
            </w:r>
          </w:p>
        </w:tc>
        <w:tc>
          <w:tcPr>
            <w:tcW w:w="1246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103037</w:t>
            </w:r>
          </w:p>
        </w:tc>
        <w:tc>
          <w:tcPr>
            <w:tcW w:w="1081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103631</w:t>
            </w:r>
          </w:p>
        </w:tc>
        <w:tc>
          <w:tcPr>
            <w:tcW w:w="918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101433</w:t>
            </w:r>
          </w:p>
        </w:tc>
        <w:tc>
          <w:tcPr>
            <w:tcW w:w="980" w:type="dxa"/>
            <w:vAlign w:val="center"/>
          </w:tcPr>
          <w:p w:rsidR="007A12C0" w:rsidRPr="00D36A8E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>101605</w:t>
            </w:r>
          </w:p>
        </w:tc>
        <w:tc>
          <w:tcPr>
            <w:tcW w:w="881" w:type="dxa"/>
            <w:vAlign w:val="center"/>
          </w:tcPr>
          <w:p w:rsidR="007A12C0" w:rsidRPr="005579DF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107330</w:t>
            </w:r>
          </w:p>
        </w:tc>
        <w:tc>
          <w:tcPr>
            <w:tcW w:w="816" w:type="dxa"/>
            <w:vAlign w:val="center"/>
          </w:tcPr>
          <w:p w:rsidR="007A12C0" w:rsidRDefault="007A12C0" w:rsidP="000D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130926</w:t>
            </w:r>
          </w:p>
        </w:tc>
      </w:tr>
    </w:tbl>
    <w:p w:rsidR="007A2DF6" w:rsidRDefault="007A2DF6" w:rsidP="007A12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124C" w:rsidRDefault="0032124C" w:rsidP="00354F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Оценка кадрового потенциала проведена по шести группам учреждений дополнительного образования (кластерам). Основным показателем, определяющим кластер, стал вид образовательной организации (далее - ОО). Наименование кластеров соответствует виду ОО.</w:t>
      </w:r>
    </w:p>
    <w:p w:rsidR="008A1B34" w:rsidRPr="0032124C" w:rsidRDefault="008A1B34" w:rsidP="008A1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24C">
        <w:rPr>
          <w:rFonts w:ascii="Times New Roman" w:eastAsia="Calibri" w:hAnsi="Times New Roman" w:cs="Times New Roman"/>
          <w:sz w:val="28"/>
          <w:szCs w:val="28"/>
        </w:rPr>
        <w:t xml:space="preserve">Детские дома, которые имеют лицензию на образовательную деятельность в части реализации общеобразовательных программ дополнительного образования, из анализа исключены. </w:t>
      </w:r>
    </w:p>
    <w:p w:rsidR="008A1B34" w:rsidRPr="008A1B34" w:rsidRDefault="008A1B34" w:rsidP="008A1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A1B34">
        <w:rPr>
          <w:rFonts w:ascii="Times New Roman" w:eastAsia="Calibri" w:hAnsi="Times New Roman" w:cs="Times New Roman"/>
          <w:sz w:val="28"/>
          <w:szCs w:val="24"/>
        </w:rPr>
        <w:t>Учреждений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дополнительного образования таких как с</w:t>
      </w:r>
      <w:r w:rsidRPr="008A1B34">
        <w:rPr>
          <w:rFonts w:ascii="Times New Roman" w:eastAsia="Calibri" w:hAnsi="Times New Roman" w:cs="Times New Roman"/>
          <w:sz w:val="28"/>
          <w:szCs w:val="24"/>
        </w:rPr>
        <w:t xml:space="preserve">портивные школы олимпийского резерва, спортивно-адаптивные школы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ведомственном подчинении министерству образования Ставропольского края </w:t>
      </w:r>
      <w:r w:rsidRPr="008A1B34">
        <w:rPr>
          <w:rFonts w:ascii="Times New Roman" w:eastAsia="Calibri" w:hAnsi="Times New Roman" w:cs="Times New Roman"/>
          <w:sz w:val="28"/>
          <w:szCs w:val="24"/>
        </w:rPr>
        <w:t>нет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1B34" w:rsidRDefault="008A1B34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7A12C0" w:rsidRDefault="007A12C0" w:rsidP="007A12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2. Сведения об организациях дополнительного образования в разрезе муниципальных образований и видов ОО (статистика на 01.01.2020 г.)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97"/>
        <w:gridCol w:w="898"/>
        <w:gridCol w:w="898"/>
        <w:gridCol w:w="898"/>
        <w:gridCol w:w="898"/>
        <w:gridCol w:w="898"/>
      </w:tblGrid>
      <w:tr w:rsidR="007A12C0" w:rsidRPr="00C962E7" w:rsidTr="008315DA">
        <w:trPr>
          <w:trHeight w:val="20"/>
          <w:tblHeader/>
        </w:trPr>
        <w:tc>
          <w:tcPr>
            <w:tcW w:w="3686" w:type="dxa"/>
            <w:vMerge w:val="restart"/>
            <w:vAlign w:val="center"/>
          </w:tcPr>
          <w:p w:rsidR="007A12C0" w:rsidRPr="00C962E7" w:rsidRDefault="007A12C0" w:rsidP="000D3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12C0" w:rsidRPr="00C962E7" w:rsidRDefault="007A12C0" w:rsidP="003F45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387" w:type="dxa"/>
            <w:gridSpan w:val="6"/>
            <w:vAlign w:val="center"/>
          </w:tcPr>
          <w:p w:rsidR="007A12C0" w:rsidRPr="00C962E7" w:rsidRDefault="007A12C0" w:rsidP="000D3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7A12C0" w:rsidRPr="00C962E7" w:rsidTr="008315DA">
        <w:trPr>
          <w:trHeight w:val="20"/>
          <w:tblHeader/>
        </w:trPr>
        <w:tc>
          <w:tcPr>
            <w:tcW w:w="3686" w:type="dxa"/>
            <w:vMerge/>
            <w:vAlign w:val="center"/>
            <w:hideMark/>
          </w:tcPr>
          <w:p w:rsidR="007A12C0" w:rsidRPr="00C962E7" w:rsidRDefault="007A12C0" w:rsidP="000D3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A12C0" w:rsidRPr="00C962E7" w:rsidRDefault="007A12C0" w:rsidP="000D3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vAlign w:val="center"/>
            <w:hideMark/>
          </w:tcPr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центры</w:t>
            </w:r>
          </w:p>
        </w:tc>
        <w:tc>
          <w:tcPr>
            <w:tcW w:w="898" w:type="dxa"/>
            <w:vAlign w:val="center"/>
            <w:hideMark/>
          </w:tcPr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дворцы</w:t>
            </w:r>
          </w:p>
        </w:tc>
        <w:tc>
          <w:tcPr>
            <w:tcW w:w="898" w:type="dxa"/>
            <w:vAlign w:val="center"/>
            <w:hideMark/>
          </w:tcPr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дома</w:t>
            </w:r>
          </w:p>
        </w:tc>
        <w:tc>
          <w:tcPr>
            <w:tcW w:w="898" w:type="dxa"/>
            <w:vAlign w:val="center"/>
            <w:hideMark/>
          </w:tcPr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станции</w:t>
            </w:r>
          </w:p>
        </w:tc>
        <w:tc>
          <w:tcPr>
            <w:tcW w:w="898" w:type="dxa"/>
            <w:vAlign w:val="center"/>
            <w:hideMark/>
          </w:tcPr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898" w:type="dxa"/>
            <w:vAlign w:val="center"/>
            <w:hideMark/>
          </w:tcPr>
          <w:p w:rsidR="008315DA" w:rsidRDefault="008315DA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62E7">
              <w:rPr>
                <w:rFonts w:ascii="Times New Roman" w:eastAsia="Times New Roman" w:hAnsi="Times New Roman" w:cs="Times New Roman"/>
              </w:rPr>
              <w:t>С</w:t>
            </w:r>
            <w:r w:rsidR="007A12C0" w:rsidRPr="00C962E7">
              <w:rPr>
                <w:rFonts w:ascii="Times New Roman" w:eastAsia="Times New Roman" w:hAnsi="Times New Roman" w:cs="Times New Roman"/>
              </w:rPr>
              <w:t>портив</w:t>
            </w:r>
            <w:proofErr w:type="spellEnd"/>
          </w:p>
          <w:p w:rsidR="007A12C0" w:rsidRPr="00C962E7" w:rsidRDefault="007A12C0" w:rsidP="008315DA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62E7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C962E7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Александровский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Андроповский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Апанасенковский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Арзгирский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Благодарненский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Буденновский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Георгиевский 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Грачевский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Изобильненский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Ипатовский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Кировский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Кочубеевский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Красногвардейский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Курский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Левокумский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Минераловодский 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Нефтекумский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ind w:right="-254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Новоалександровский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Новоселицкий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 xml:space="preserve">Петровский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Предгорный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городской округ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Степновский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Труновский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Туркменский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Шпаковский район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Ессентуки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Железноводск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Кисловодск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Лермонтов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Невинномысск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Пятигорск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noWrap/>
            <w:vAlign w:val="center"/>
            <w:hideMark/>
          </w:tcPr>
          <w:p w:rsidR="00FB1245" w:rsidRPr="006006B9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г. Ставрополь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vAlign w:val="center"/>
            <w:hideMark/>
          </w:tcPr>
          <w:p w:rsidR="00FB1245" w:rsidRPr="000F4ACA" w:rsidRDefault="00FB1245" w:rsidP="00FB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6B9">
              <w:rPr>
                <w:rFonts w:ascii="Times New Roman" w:hAnsi="Times New Roman" w:cs="Times New Roman"/>
                <w:sz w:val="18"/>
                <w:szCs w:val="18"/>
              </w:rPr>
              <w:t>гос., подведомственные МО СК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vAlign w:val="center"/>
            <w:hideMark/>
          </w:tcPr>
          <w:p w:rsidR="00FB1245" w:rsidRPr="00C962E7" w:rsidRDefault="00FB1245" w:rsidP="00FB1245">
            <w:pPr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Краевые ПМПЦ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vAlign w:val="center"/>
            <w:hideMark/>
          </w:tcPr>
          <w:p w:rsidR="00FB1245" w:rsidRPr="00C962E7" w:rsidRDefault="00FB1245" w:rsidP="00FB1245">
            <w:pPr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Итого количество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B1245" w:rsidRPr="00C962E7" w:rsidTr="008315DA">
        <w:trPr>
          <w:trHeight w:val="20"/>
        </w:trPr>
        <w:tc>
          <w:tcPr>
            <w:tcW w:w="3686" w:type="dxa"/>
            <w:vAlign w:val="center"/>
            <w:hideMark/>
          </w:tcPr>
          <w:p w:rsidR="00FB1245" w:rsidRPr="00C962E7" w:rsidRDefault="00FB1245" w:rsidP="00FB1245">
            <w:pPr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Доля от общего количества</w:t>
            </w:r>
          </w:p>
        </w:tc>
        <w:tc>
          <w:tcPr>
            <w:tcW w:w="567" w:type="dxa"/>
            <w:vAlign w:val="center"/>
          </w:tcPr>
          <w:p w:rsidR="00FB1245" w:rsidRPr="00C962E7" w:rsidRDefault="00FB1245" w:rsidP="00FB12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52,59%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2,22%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10,37%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8,15%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0,74%</w:t>
            </w:r>
          </w:p>
        </w:tc>
        <w:tc>
          <w:tcPr>
            <w:tcW w:w="898" w:type="dxa"/>
            <w:vAlign w:val="center"/>
            <w:hideMark/>
          </w:tcPr>
          <w:p w:rsidR="00FB1245" w:rsidRPr="00C962E7" w:rsidRDefault="00FB1245" w:rsidP="00FB1245">
            <w:pPr>
              <w:ind w:left="-113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C962E7">
              <w:rPr>
                <w:rFonts w:ascii="Times New Roman" w:eastAsia="Times New Roman" w:hAnsi="Times New Roman" w:cs="Times New Roman"/>
              </w:rPr>
              <w:t>25,93%</w:t>
            </w:r>
          </w:p>
        </w:tc>
      </w:tr>
    </w:tbl>
    <w:p w:rsidR="007A12C0" w:rsidRDefault="007A12C0" w:rsidP="007A1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мониторинга: кадровое обеспечение </w:t>
      </w:r>
      <w:r w:rsidR="008A1B34">
        <w:rPr>
          <w:rFonts w:ascii="Times New Roman" w:hAnsi="Times New Roman"/>
          <w:sz w:val="28"/>
          <w:szCs w:val="28"/>
        </w:rPr>
        <w:t xml:space="preserve">и уровень заработной платы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632A52">
        <w:rPr>
          <w:rFonts w:ascii="Times New Roman" w:hAnsi="Times New Roman"/>
          <w:sz w:val="28"/>
          <w:szCs w:val="28"/>
        </w:rPr>
        <w:t xml:space="preserve">(государственных)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8A1B34">
        <w:rPr>
          <w:rFonts w:ascii="Times New Roman" w:hAnsi="Times New Roman"/>
          <w:sz w:val="28"/>
          <w:szCs w:val="28"/>
        </w:rPr>
        <w:t xml:space="preserve">учреждений дополнительного образования, подведомственных министерству образования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="008A1B34">
        <w:rPr>
          <w:rFonts w:ascii="Times New Roman" w:hAnsi="Times New Roman"/>
          <w:sz w:val="28"/>
          <w:szCs w:val="28"/>
        </w:rPr>
        <w:t>.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52">
        <w:rPr>
          <w:rFonts w:ascii="Times New Roman" w:hAnsi="Times New Roman" w:cs="Times New Roman"/>
          <w:sz w:val="28"/>
          <w:szCs w:val="28"/>
        </w:rPr>
        <w:t>Цел</w:t>
      </w:r>
      <w:r w:rsidR="00632A52">
        <w:rPr>
          <w:rFonts w:ascii="Times New Roman" w:hAnsi="Times New Roman" w:cs="Times New Roman"/>
          <w:sz w:val="28"/>
          <w:szCs w:val="28"/>
        </w:rPr>
        <w:t>ь</w:t>
      </w:r>
      <w:r w:rsidRPr="00632A52">
        <w:rPr>
          <w:rFonts w:ascii="Times New Roman" w:hAnsi="Times New Roman" w:cs="Times New Roman"/>
          <w:sz w:val="28"/>
          <w:szCs w:val="28"/>
        </w:rPr>
        <w:t xml:space="preserve">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оценить кадровое обеспечение учреждений дополнительного образования Ставропольского края. </w:t>
      </w:r>
    </w:p>
    <w:p w:rsidR="004C210C" w:rsidRPr="00632A52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представлен по различным показателям, в соответствии с </w:t>
      </w:r>
      <w:r w:rsidRPr="00632A52">
        <w:rPr>
          <w:rFonts w:ascii="Times New Roman" w:hAnsi="Times New Roman" w:cs="Times New Roman"/>
          <w:sz w:val="28"/>
          <w:szCs w:val="28"/>
        </w:rPr>
        <w:t>задачами мониторинга: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52">
        <w:rPr>
          <w:rFonts w:ascii="Times New Roman" w:hAnsi="Times New Roman" w:cs="Times New Roman"/>
          <w:sz w:val="28"/>
          <w:szCs w:val="28"/>
        </w:rPr>
        <w:t>- обеспечен</w:t>
      </w:r>
      <w:r w:rsidR="00632A52">
        <w:rPr>
          <w:rFonts w:ascii="Times New Roman" w:hAnsi="Times New Roman" w:cs="Times New Roman"/>
          <w:sz w:val="28"/>
          <w:szCs w:val="28"/>
        </w:rPr>
        <w:t>ие</w:t>
      </w:r>
      <w:r w:rsidRPr="00632A52">
        <w:rPr>
          <w:rFonts w:ascii="Times New Roman" w:hAnsi="Times New Roman" w:cs="Times New Roman"/>
          <w:sz w:val="28"/>
          <w:szCs w:val="28"/>
        </w:rPr>
        <w:t xml:space="preserve"> кадрами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долевое распределение по категориям работников в учреждениях дополнительного образования;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кадрового состава в разрезе возраста, квалификационных категорий и стажа;</w:t>
      </w:r>
    </w:p>
    <w:p w:rsidR="008A1B34" w:rsidRDefault="004C210C" w:rsidP="008A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заработной платы педагогических работников </w:t>
      </w:r>
      <w:r w:rsidR="008A1B34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дополнительного образования.</w:t>
      </w:r>
      <w:r w:rsidR="008A1B34">
        <w:rPr>
          <w:rFonts w:ascii="Times New Roman" w:hAnsi="Times New Roman"/>
          <w:sz w:val="28"/>
          <w:szCs w:val="28"/>
        </w:rPr>
        <w:t xml:space="preserve"> </w:t>
      </w:r>
    </w:p>
    <w:p w:rsidR="008A1B34" w:rsidRDefault="008A1B34" w:rsidP="008A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210C" w:rsidRPr="00F63506" w:rsidRDefault="004C210C" w:rsidP="008A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06">
        <w:rPr>
          <w:rFonts w:ascii="Times New Roman" w:hAnsi="Times New Roman" w:cs="Times New Roman"/>
          <w:b/>
          <w:sz w:val="28"/>
          <w:szCs w:val="28"/>
        </w:rPr>
        <w:t xml:space="preserve">Структура кадрового потенциала организаций дополнительного образования. </w:t>
      </w:r>
    </w:p>
    <w:p w:rsidR="00F63506" w:rsidRPr="00F63506" w:rsidRDefault="00F63506" w:rsidP="00F63506">
      <w:pPr>
        <w:pStyle w:val="a9"/>
        <w:spacing w:after="0" w:line="240" w:lineRule="auto"/>
        <w:ind w:left="1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Численность работников организаций дополнительного образования 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573"/>
        <w:gridCol w:w="3396"/>
        <w:gridCol w:w="945"/>
        <w:gridCol w:w="945"/>
        <w:gridCol w:w="945"/>
        <w:gridCol w:w="945"/>
        <w:gridCol w:w="945"/>
        <w:gridCol w:w="945"/>
      </w:tblGrid>
      <w:tr w:rsidR="00632A52" w:rsidTr="00BF7A37">
        <w:tc>
          <w:tcPr>
            <w:tcW w:w="573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 учреждений дополнительного образования</w:t>
            </w:r>
          </w:p>
        </w:tc>
        <w:tc>
          <w:tcPr>
            <w:tcW w:w="945" w:type="dxa"/>
            <w:hideMark/>
          </w:tcPr>
          <w:p w:rsidR="00632A52" w:rsidRDefault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45" w:type="dxa"/>
            <w:hideMark/>
          </w:tcPr>
          <w:p w:rsidR="00632A52" w:rsidRDefault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45" w:type="dxa"/>
            <w:hideMark/>
          </w:tcPr>
          <w:p w:rsidR="00632A52" w:rsidRDefault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45" w:type="dxa"/>
            <w:hideMark/>
          </w:tcPr>
          <w:p w:rsidR="00632A52" w:rsidRDefault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45" w:type="dxa"/>
            <w:hideMark/>
          </w:tcPr>
          <w:p w:rsidR="00632A52" w:rsidRDefault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</w:tcPr>
          <w:p w:rsidR="00632A52" w:rsidRDefault="00632A52" w:rsidP="0063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632A52" w:rsidTr="00BF7A37">
        <w:tc>
          <w:tcPr>
            <w:tcW w:w="573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45" w:type="dxa"/>
            <w:vAlign w:val="center"/>
          </w:tcPr>
          <w:p w:rsidR="00632A52" w:rsidRDefault="00BF7A37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632A52" w:rsidTr="00BF7A37">
        <w:tc>
          <w:tcPr>
            <w:tcW w:w="573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45" w:type="dxa"/>
            <w:vAlign w:val="center"/>
          </w:tcPr>
          <w:p w:rsidR="00632A52" w:rsidRDefault="00BF7A37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32A52" w:rsidTr="00BF7A37">
        <w:tc>
          <w:tcPr>
            <w:tcW w:w="573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учебно-вспомогательный персонал 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45" w:type="dxa"/>
            <w:vAlign w:val="center"/>
          </w:tcPr>
          <w:p w:rsidR="00632A52" w:rsidRDefault="00BF7A37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32A52" w:rsidTr="00BF7A37">
        <w:tc>
          <w:tcPr>
            <w:tcW w:w="573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обслуживающий-персонал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945" w:type="dxa"/>
            <w:vAlign w:val="center"/>
          </w:tcPr>
          <w:p w:rsidR="00632A52" w:rsidRDefault="00BF7A37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632A52" w:rsidTr="00BF7A37">
        <w:tc>
          <w:tcPr>
            <w:tcW w:w="573" w:type="dxa"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hideMark/>
          </w:tcPr>
          <w:p w:rsidR="00632A52" w:rsidRDefault="006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945" w:type="dxa"/>
            <w:vAlign w:val="center"/>
            <w:hideMark/>
          </w:tcPr>
          <w:p w:rsidR="00632A52" w:rsidRDefault="00632A52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945" w:type="dxa"/>
            <w:vAlign w:val="center"/>
          </w:tcPr>
          <w:p w:rsidR="00632A52" w:rsidRDefault="00BF7A37" w:rsidP="00B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</w:tbl>
    <w:p w:rsidR="00D67E14" w:rsidRPr="00D67E14" w:rsidRDefault="00D67E14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448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и внешних совместителей в организациях дополнительного образования с 2014 по 2017 гг. имела четкую </w:t>
      </w:r>
      <w:r w:rsidR="00BF7A37">
        <w:rPr>
          <w:rFonts w:ascii="Times New Roman" w:hAnsi="Times New Roman" w:cs="Times New Roman"/>
          <w:sz w:val="28"/>
          <w:szCs w:val="28"/>
        </w:rPr>
        <w:t xml:space="preserve">тенденцию к сокращению, но </w:t>
      </w:r>
      <w:r w:rsidR="00131411">
        <w:rPr>
          <w:rFonts w:ascii="Times New Roman" w:hAnsi="Times New Roman" w:cs="Times New Roman"/>
          <w:sz w:val="28"/>
          <w:szCs w:val="28"/>
        </w:rPr>
        <w:t xml:space="preserve">стала расти с 2018 года и </w:t>
      </w:r>
      <w:r w:rsidR="00BF7A37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F7A37">
        <w:rPr>
          <w:rFonts w:ascii="Times New Roman" w:hAnsi="Times New Roman" w:cs="Times New Roman"/>
          <w:sz w:val="28"/>
          <w:szCs w:val="28"/>
        </w:rPr>
        <w:t xml:space="preserve">превысила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BF7A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7A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2014 г</w:t>
      </w:r>
      <w:r w:rsidR="00BF7A3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0C" w:rsidRDefault="00BF7A37" w:rsidP="00BF7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4C210C">
        <w:rPr>
          <w:rFonts w:ascii="Times New Roman" w:hAnsi="Times New Roman" w:cs="Times New Roman"/>
          <w:sz w:val="28"/>
          <w:szCs w:val="28"/>
        </w:rPr>
        <w:t xml:space="preserve"> года в организациях дополнительного образования насчитывается 38</w:t>
      </w:r>
      <w:r>
        <w:rPr>
          <w:rFonts w:ascii="Times New Roman" w:hAnsi="Times New Roman" w:cs="Times New Roman"/>
          <w:sz w:val="28"/>
          <w:szCs w:val="28"/>
        </w:rPr>
        <w:t>6</w:t>
      </w:r>
      <w:r w:rsidR="004C210C">
        <w:rPr>
          <w:rFonts w:ascii="Times New Roman" w:hAnsi="Times New Roman" w:cs="Times New Roman"/>
          <w:sz w:val="28"/>
          <w:szCs w:val="28"/>
        </w:rPr>
        <w:t xml:space="preserve"> руководящих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210C">
        <w:rPr>
          <w:rFonts w:ascii="Times New Roman" w:hAnsi="Times New Roman" w:cs="Times New Roman"/>
          <w:sz w:val="28"/>
          <w:szCs w:val="28"/>
        </w:rPr>
        <w:t>, что составляет 10,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210C">
        <w:rPr>
          <w:rFonts w:ascii="Times New Roman" w:hAnsi="Times New Roman" w:cs="Times New Roman"/>
          <w:sz w:val="28"/>
          <w:szCs w:val="28"/>
        </w:rPr>
        <w:t xml:space="preserve">% от общей численности работников </w:t>
      </w:r>
      <w:r w:rsidR="004C210C" w:rsidRPr="00131411">
        <w:rPr>
          <w:rFonts w:ascii="Times New Roman" w:hAnsi="Times New Roman" w:cs="Times New Roman"/>
          <w:i/>
          <w:sz w:val="28"/>
          <w:szCs w:val="28"/>
        </w:rPr>
        <w:t xml:space="preserve">(Справочно: </w:t>
      </w:r>
      <w:r w:rsidR="00131411" w:rsidRPr="00131411">
        <w:rPr>
          <w:rFonts w:ascii="Times New Roman" w:hAnsi="Times New Roman" w:cs="Times New Roman"/>
          <w:i/>
          <w:sz w:val="28"/>
          <w:szCs w:val="28"/>
        </w:rPr>
        <w:t xml:space="preserve">в 2018 году – 10,5%, </w:t>
      </w:r>
      <w:r w:rsidR="004C210C" w:rsidRPr="00131411">
        <w:rPr>
          <w:rFonts w:ascii="Times New Roman" w:hAnsi="Times New Roman" w:cs="Times New Roman"/>
          <w:i/>
          <w:sz w:val="28"/>
          <w:szCs w:val="28"/>
        </w:rPr>
        <w:t>в 2017 году – 10,3%, в 2016 году – 10,7%)</w:t>
      </w:r>
      <w:r w:rsidR="004C2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0C" w:rsidRDefault="00405185" w:rsidP="00BF7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статистике</w:t>
      </w:r>
      <w:r w:rsidR="00BF7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C210C">
        <w:rPr>
          <w:rFonts w:ascii="Times New Roman" w:hAnsi="Times New Roman" w:cs="Times New Roman"/>
          <w:sz w:val="28"/>
          <w:szCs w:val="28"/>
        </w:rPr>
        <w:t>оля педагогических работников составила – 53,</w:t>
      </w:r>
      <w:r w:rsidR="00BF7A37">
        <w:rPr>
          <w:rFonts w:ascii="Times New Roman" w:hAnsi="Times New Roman" w:cs="Times New Roman"/>
          <w:sz w:val="28"/>
          <w:szCs w:val="28"/>
        </w:rPr>
        <w:t>4</w:t>
      </w:r>
      <w:r w:rsidR="004C210C">
        <w:rPr>
          <w:rFonts w:ascii="Times New Roman" w:hAnsi="Times New Roman" w:cs="Times New Roman"/>
          <w:sz w:val="28"/>
          <w:szCs w:val="28"/>
        </w:rPr>
        <w:t>% (19</w:t>
      </w:r>
      <w:r w:rsidR="00BF7A37">
        <w:rPr>
          <w:rFonts w:ascii="Times New Roman" w:hAnsi="Times New Roman" w:cs="Times New Roman"/>
          <w:sz w:val="28"/>
          <w:szCs w:val="28"/>
        </w:rPr>
        <w:t>84</w:t>
      </w:r>
      <w:r w:rsidR="004C21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7A37">
        <w:rPr>
          <w:rFonts w:ascii="Times New Roman" w:hAnsi="Times New Roman" w:cs="Times New Roman"/>
          <w:sz w:val="28"/>
          <w:szCs w:val="28"/>
        </w:rPr>
        <w:t>а</w:t>
      </w:r>
      <w:r w:rsidR="004C210C">
        <w:rPr>
          <w:rFonts w:ascii="Times New Roman" w:hAnsi="Times New Roman" w:cs="Times New Roman"/>
          <w:sz w:val="28"/>
          <w:szCs w:val="28"/>
        </w:rPr>
        <w:t>). (</w:t>
      </w:r>
      <w:r w:rsidR="004C210C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="00131411">
        <w:rPr>
          <w:rFonts w:ascii="Times New Roman" w:hAnsi="Times New Roman" w:cs="Times New Roman"/>
          <w:i/>
          <w:sz w:val="28"/>
          <w:szCs w:val="28"/>
        </w:rPr>
        <w:t xml:space="preserve"> 2018 году – 53,6%,</w:t>
      </w:r>
      <w:r w:rsidR="004C210C">
        <w:rPr>
          <w:rFonts w:ascii="Times New Roman" w:hAnsi="Times New Roman" w:cs="Times New Roman"/>
          <w:i/>
          <w:sz w:val="28"/>
          <w:szCs w:val="28"/>
        </w:rPr>
        <w:t xml:space="preserve"> в 2017 году – </w:t>
      </w:r>
      <w:r w:rsidR="004C210C">
        <w:rPr>
          <w:rFonts w:ascii="Times New Roman" w:hAnsi="Times New Roman" w:cs="Times New Roman"/>
          <w:sz w:val="28"/>
          <w:szCs w:val="28"/>
        </w:rPr>
        <w:t xml:space="preserve">54,6%, </w:t>
      </w:r>
      <w:r w:rsidR="004C210C">
        <w:rPr>
          <w:rFonts w:ascii="Times New Roman" w:hAnsi="Times New Roman" w:cs="Times New Roman"/>
          <w:i/>
          <w:sz w:val="28"/>
          <w:szCs w:val="28"/>
        </w:rPr>
        <w:t>в 2016 году – 55,4%</w:t>
      </w:r>
      <w:r w:rsidR="004C210C">
        <w:rPr>
          <w:rFonts w:ascii="Times New Roman" w:hAnsi="Times New Roman" w:cs="Times New Roman"/>
          <w:sz w:val="28"/>
          <w:szCs w:val="28"/>
        </w:rPr>
        <w:t xml:space="preserve">). В их число входят учителя – </w:t>
      </w:r>
      <w:r w:rsidR="008958BB">
        <w:rPr>
          <w:rFonts w:ascii="Times New Roman" w:hAnsi="Times New Roman" w:cs="Times New Roman"/>
          <w:sz w:val="28"/>
          <w:szCs w:val="28"/>
        </w:rPr>
        <w:t>3,8% (201</w:t>
      </w:r>
      <w:r w:rsidR="00131411">
        <w:rPr>
          <w:rFonts w:ascii="Times New Roman" w:hAnsi="Times New Roman" w:cs="Times New Roman"/>
          <w:sz w:val="28"/>
          <w:szCs w:val="28"/>
        </w:rPr>
        <w:t>8</w:t>
      </w:r>
      <w:r w:rsidR="008958BB">
        <w:rPr>
          <w:rFonts w:ascii="Times New Roman" w:hAnsi="Times New Roman" w:cs="Times New Roman"/>
          <w:sz w:val="28"/>
          <w:szCs w:val="28"/>
        </w:rPr>
        <w:t xml:space="preserve"> г. - </w:t>
      </w:r>
      <w:r w:rsidR="004C210C">
        <w:rPr>
          <w:rFonts w:ascii="Times New Roman" w:hAnsi="Times New Roman" w:cs="Times New Roman"/>
          <w:sz w:val="28"/>
          <w:szCs w:val="28"/>
        </w:rPr>
        <w:t>3%</w:t>
      </w:r>
      <w:r w:rsidR="008958BB">
        <w:rPr>
          <w:rFonts w:ascii="Times New Roman" w:hAnsi="Times New Roman" w:cs="Times New Roman"/>
          <w:sz w:val="28"/>
          <w:szCs w:val="28"/>
        </w:rPr>
        <w:t>)</w:t>
      </w:r>
      <w:r w:rsidR="004C210C">
        <w:rPr>
          <w:rFonts w:ascii="Times New Roman" w:hAnsi="Times New Roman" w:cs="Times New Roman"/>
          <w:sz w:val="28"/>
          <w:szCs w:val="28"/>
        </w:rPr>
        <w:t xml:space="preserve"> от </w:t>
      </w:r>
      <w:r w:rsidR="0089235A">
        <w:rPr>
          <w:rFonts w:ascii="Times New Roman" w:hAnsi="Times New Roman" w:cs="Times New Roman"/>
          <w:sz w:val="28"/>
          <w:szCs w:val="28"/>
        </w:rPr>
        <w:t>8</w:t>
      </w:r>
      <w:r w:rsidR="004C210C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педагоги дополнительного образования – </w:t>
      </w:r>
      <w:r w:rsidR="008958BB">
        <w:rPr>
          <w:rFonts w:ascii="Times New Roman" w:hAnsi="Times New Roman" w:cs="Times New Roman"/>
          <w:sz w:val="28"/>
          <w:szCs w:val="28"/>
        </w:rPr>
        <w:t>47,4% (</w:t>
      </w:r>
      <w:r w:rsidR="004C210C">
        <w:rPr>
          <w:rFonts w:ascii="Times New Roman" w:hAnsi="Times New Roman" w:cs="Times New Roman"/>
          <w:sz w:val="28"/>
          <w:szCs w:val="28"/>
        </w:rPr>
        <w:t>46,8%</w:t>
      </w:r>
      <w:r w:rsidR="008958BB">
        <w:rPr>
          <w:rFonts w:ascii="Times New Roman" w:hAnsi="Times New Roman" w:cs="Times New Roman"/>
          <w:sz w:val="28"/>
          <w:szCs w:val="28"/>
        </w:rPr>
        <w:t>)</w:t>
      </w:r>
      <w:r w:rsidR="004C210C">
        <w:rPr>
          <w:rFonts w:ascii="Times New Roman" w:hAnsi="Times New Roman" w:cs="Times New Roman"/>
          <w:sz w:val="28"/>
          <w:szCs w:val="28"/>
        </w:rPr>
        <w:t xml:space="preserve">, педагоги организаторы – 4,9%, тренеры-преподаватели – </w:t>
      </w:r>
      <w:r w:rsidR="008958BB">
        <w:rPr>
          <w:rFonts w:ascii="Times New Roman" w:hAnsi="Times New Roman" w:cs="Times New Roman"/>
          <w:sz w:val="28"/>
          <w:szCs w:val="28"/>
        </w:rPr>
        <w:t>19,2% (</w:t>
      </w:r>
      <w:r w:rsidR="004C210C">
        <w:rPr>
          <w:rFonts w:ascii="Times New Roman" w:hAnsi="Times New Roman" w:cs="Times New Roman"/>
          <w:sz w:val="28"/>
          <w:szCs w:val="28"/>
        </w:rPr>
        <w:t>19,7%</w:t>
      </w:r>
      <w:r w:rsidR="008958BB">
        <w:rPr>
          <w:rFonts w:ascii="Times New Roman" w:hAnsi="Times New Roman" w:cs="Times New Roman"/>
          <w:sz w:val="28"/>
          <w:szCs w:val="28"/>
        </w:rPr>
        <w:t>)</w:t>
      </w:r>
      <w:r w:rsidR="004C210C">
        <w:rPr>
          <w:rFonts w:ascii="Times New Roman" w:hAnsi="Times New Roman" w:cs="Times New Roman"/>
          <w:sz w:val="28"/>
          <w:szCs w:val="28"/>
        </w:rPr>
        <w:t>, методисты – 11,</w:t>
      </w:r>
      <w:r w:rsidR="008958BB">
        <w:rPr>
          <w:rFonts w:ascii="Times New Roman" w:hAnsi="Times New Roman" w:cs="Times New Roman"/>
          <w:sz w:val="28"/>
          <w:szCs w:val="28"/>
        </w:rPr>
        <w:t>6</w:t>
      </w:r>
      <w:r w:rsidR="004C210C">
        <w:rPr>
          <w:rFonts w:ascii="Times New Roman" w:hAnsi="Times New Roman" w:cs="Times New Roman"/>
          <w:sz w:val="28"/>
          <w:szCs w:val="28"/>
        </w:rPr>
        <w:t xml:space="preserve">%. Доля других педагогических работников составляет </w:t>
      </w:r>
      <w:r w:rsidR="008958BB">
        <w:rPr>
          <w:rFonts w:ascii="Times New Roman" w:hAnsi="Times New Roman" w:cs="Times New Roman"/>
          <w:sz w:val="28"/>
          <w:szCs w:val="28"/>
        </w:rPr>
        <w:t>–</w:t>
      </w:r>
      <w:r w:rsidR="004C210C">
        <w:rPr>
          <w:rFonts w:ascii="Times New Roman" w:hAnsi="Times New Roman" w:cs="Times New Roman"/>
          <w:sz w:val="28"/>
          <w:szCs w:val="28"/>
        </w:rPr>
        <w:t xml:space="preserve"> </w:t>
      </w:r>
      <w:r w:rsidR="008958BB">
        <w:rPr>
          <w:rFonts w:ascii="Times New Roman" w:hAnsi="Times New Roman" w:cs="Times New Roman"/>
          <w:sz w:val="28"/>
          <w:szCs w:val="28"/>
        </w:rPr>
        <w:t>12,1 (</w:t>
      </w:r>
      <w:r w:rsidR="00131411">
        <w:rPr>
          <w:rFonts w:ascii="Times New Roman" w:hAnsi="Times New Roman" w:cs="Times New Roman"/>
          <w:sz w:val="28"/>
          <w:szCs w:val="28"/>
        </w:rPr>
        <w:t xml:space="preserve">2018 г. - </w:t>
      </w:r>
      <w:r w:rsidR="004C210C">
        <w:rPr>
          <w:rFonts w:ascii="Times New Roman" w:hAnsi="Times New Roman" w:cs="Times New Roman"/>
          <w:sz w:val="28"/>
          <w:szCs w:val="28"/>
        </w:rPr>
        <w:t>12,7%</w:t>
      </w:r>
      <w:r w:rsidR="008958BB">
        <w:rPr>
          <w:rFonts w:ascii="Times New Roman" w:hAnsi="Times New Roman" w:cs="Times New Roman"/>
          <w:sz w:val="28"/>
          <w:szCs w:val="28"/>
        </w:rPr>
        <w:t>)</w:t>
      </w:r>
      <w:r w:rsidR="004C210C">
        <w:rPr>
          <w:rFonts w:ascii="Times New Roman" w:hAnsi="Times New Roman" w:cs="Times New Roman"/>
          <w:sz w:val="28"/>
          <w:szCs w:val="28"/>
        </w:rPr>
        <w:t>. В учреждениях д</w:t>
      </w:r>
      <w:r w:rsidR="008958BB">
        <w:rPr>
          <w:rFonts w:ascii="Times New Roman" w:hAnsi="Times New Roman" w:cs="Times New Roman"/>
          <w:sz w:val="28"/>
          <w:szCs w:val="28"/>
        </w:rPr>
        <w:t>ополнительного образования в 2020</w:t>
      </w:r>
      <w:r w:rsidR="004C210C">
        <w:rPr>
          <w:rFonts w:ascii="Times New Roman" w:hAnsi="Times New Roman" w:cs="Times New Roman"/>
          <w:sz w:val="28"/>
          <w:szCs w:val="28"/>
        </w:rPr>
        <w:t xml:space="preserve"> году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58BB">
        <w:rPr>
          <w:rFonts w:ascii="Times New Roman" w:hAnsi="Times New Roman" w:cs="Times New Roman"/>
          <w:sz w:val="28"/>
          <w:szCs w:val="28"/>
        </w:rPr>
        <w:t xml:space="preserve"> 18</w:t>
      </w:r>
      <w:r w:rsidR="004C210C">
        <w:rPr>
          <w:rFonts w:ascii="Times New Roman" w:hAnsi="Times New Roman" w:cs="Times New Roman"/>
          <w:sz w:val="28"/>
          <w:szCs w:val="28"/>
        </w:rPr>
        <w:t xml:space="preserve"> социальных педагогов (</w:t>
      </w:r>
      <w:r w:rsidR="008958BB">
        <w:rPr>
          <w:rFonts w:ascii="Times New Roman" w:hAnsi="Times New Roman" w:cs="Times New Roman"/>
          <w:sz w:val="28"/>
          <w:szCs w:val="28"/>
        </w:rPr>
        <w:t>0,9</w:t>
      </w:r>
      <w:r w:rsidR="004C210C">
        <w:rPr>
          <w:rFonts w:ascii="Times New Roman" w:hAnsi="Times New Roman" w:cs="Times New Roman"/>
          <w:sz w:val="28"/>
          <w:szCs w:val="28"/>
        </w:rPr>
        <w:t>%).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91225" cy="2790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E2F" w:rsidRDefault="000E1A47" w:rsidP="000E1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47">
        <w:rPr>
          <w:rFonts w:ascii="Times New Roman" w:hAnsi="Times New Roman" w:cs="Times New Roman"/>
          <w:sz w:val="28"/>
          <w:szCs w:val="28"/>
        </w:rPr>
        <w:t>Наблюдается изменение качественного состава кадрового потенциала ОДО. Так численность сотрудников ОДО за три последние года (с 2017 года по 2019 год) возросла на 9 %, при этом численность педагогических работников изменилась на 6,1%, руководящих и обслуживающих работников на 8,8% и на 8,7%, а вот учебно-вспомогательного персонала – на 29,9%.</w:t>
      </w:r>
    </w:p>
    <w:p w:rsidR="000E1A47" w:rsidRDefault="000E1A47" w:rsidP="000E1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Pr="000F4F6E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F6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4</w:t>
      </w:r>
      <w:r w:rsidRPr="000F4F6E">
        <w:rPr>
          <w:rFonts w:ascii="Times New Roman" w:hAnsi="Times New Roman" w:cs="Times New Roman"/>
          <w:i/>
          <w:sz w:val="24"/>
          <w:szCs w:val="24"/>
        </w:rPr>
        <w:t>. Динамика численности сотрудников в организациях дополнительного образ</w:t>
      </w:r>
      <w:r w:rsidR="000F4F6E" w:rsidRPr="000F4F6E">
        <w:rPr>
          <w:rFonts w:ascii="Times New Roman" w:hAnsi="Times New Roman" w:cs="Times New Roman"/>
          <w:i/>
          <w:sz w:val="24"/>
          <w:szCs w:val="24"/>
        </w:rPr>
        <w:t>ования в 2014, 2015, 2016, 2017, 2</w:t>
      </w:r>
      <w:r w:rsidRPr="000F4F6E">
        <w:rPr>
          <w:rFonts w:ascii="Times New Roman" w:hAnsi="Times New Roman" w:cs="Times New Roman"/>
          <w:i/>
          <w:sz w:val="24"/>
          <w:szCs w:val="24"/>
        </w:rPr>
        <w:t>018</w:t>
      </w:r>
      <w:r w:rsidR="000F4F6E" w:rsidRPr="000F4F6E">
        <w:rPr>
          <w:rFonts w:ascii="Times New Roman" w:hAnsi="Times New Roman" w:cs="Times New Roman"/>
          <w:i/>
          <w:sz w:val="24"/>
          <w:szCs w:val="24"/>
        </w:rPr>
        <w:t xml:space="preserve"> и 2019</w:t>
      </w:r>
      <w:r w:rsidRPr="000F4F6E">
        <w:rPr>
          <w:rFonts w:ascii="Times New Roman" w:hAnsi="Times New Roman" w:cs="Times New Roman"/>
          <w:i/>
          <w:sz w:val="24"/>
          <w:szCs w:val="24"/>
        </w:rPr>
        <w:t xml:space="preserve"> гг</w:t>
      </w:r>
      <w:r w:rsidR="00405185" w:rsidRPr="000F4F6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1251"/>
        <w:gridCol w:w="1251"/>
        <w:gridCol w:w="1251"/>
        <w:gridCol w:w="1251"/>
        <w:gridCol w:w="1251"/>
        <w:gridCol w:w="1252"/>
      </w:tblGrid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F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4F6E" w:rsidRPr="000F4F6E" w:rsidTr="000F4F6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546" w:rsidRPr="000F4F6E" w:rsidRDefault="003F4546" w:rsidP="000F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0F4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546" w:rsidRPr="000F4F6E" w:rsidRDefault="003F4546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546" w:rsidRPr="000F4F6E" w:rsidRDefault="000F4F6E" w:rsidP="000F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E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</w:tbl>
    <w:p w:rsidR="004C210C" w:rsidRPr="000F4F6E" w:rsidRDefault="004C210C" w:rsidP="004C210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C210C" w:rsidRPr="00F7787C" w:rsidRDefault="004C210C" w:rsidP="004C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B8E">
        <w:rPr>
          <w:noProof/>
          <w:color w:val="FF0000"/>
        </w:rPr>
        <w:lastRenderedPageBreak/>
        <w:drawing>
          <wp:inline distT="0" distB="0" distL="0" distR="0" wp14:anchorId="57D8F017" wp14:editId="387F8D5B">
            <wp:extent cx="6067425" cy="30765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E2F" w:rsidRDefault="00F7787C" w:rsidP="00584E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C001AB9" wp14:editId="5B0E0FC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4E2F" w:rsidRDefault="00584E2F" w:rsidP="00584E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0C" w:rsidRDefault="004C210C" w:rsidP="00584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занятости сотрудников организаций дополнительного образования</w:t>
      </w:r>
    </w:p>
    <w:p w:rsidR="004C210C" w:rsidRPr="00F7787C" w:rsidRDefault="00F7787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 г по статистике и</w:t>
      </w:r>
      <w:r w:rsidR="004C210C" w:rsidRPr="00F7787C">
        <w:rPr>
          <w:rFonts w:ascii="Times New Roman" w:hAnsi="Times New Roman" w:cs="Times New Roman"/>
          <w:sz w:val="28"/>
          <w:szCs w:val="28"/>
        </w:rPr>
        <w:t>з 3</w:t>
      </w:r>
      <w:r w:rsidR="001A4B8E" w:rsidRPr="00F7787C">
        <w:rPr>
          <w:rFonts w:ascii="Times New Roman" w:hAnsi="Times New Roman" w:cs="Times New Roman"/>
          <w:sz w:val="28"/>
          <w:szCs w:val="28"/>
        </w:rPr>
        <w:t>714</w:t>
      </w:r>
      <w:r w:rsidR="004C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C210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35</w:t>
      </w:r>
      <w:r w:rsidR="001A4B8E">
        <w:rPr>
          <w:rFonts w:ascii="Times New Roman" w:hAnsi="Times New Roman" w:cs="Times New Roman"/>
          <w:sz w:val="28"/>
          <w:szCs w:val="28"/>
        </w:rPr>
        <w:t xml:space="preserve">61 </w:t>
      </w:r>
      <w:r w:rsidR="004C210C">
        <w:rPr>
          <w:rFonts w:ascii="Times New Roman" w:hAnsi="Times New Roman" w:cs="Times New Roman"/>
          <w:sz w:val="28"/>
          <w:szCs w:val="28"/>
        </w:rPr>
        <w:t>человек имели полную занятость, что составило – 95,9%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7C">
        <w:rPr>
          <w:rFonts w:ascii="Times New Roman" w:hAnsi="Times New Roman" w:cs="Times New Roman"/>
          <w:i/>
          <w:sz w:val="28"/>
          <w:szCs w:val="28"/>
        </w:rPr>
        <w:t xml:space="preserve">(справочно: </w:t>
      </w:r>
      <w:r w:rsidR="001A4B8E" w:rsidRPr="00F7787C">
        <w:rPr>
          <w:rFonts w:ascii="Times New Roman" w:hAnsi="Times New Roman" w:cs="Times New Roman"/>
          <w:i/>
          <w:sz w:val="28"/>
          <w:szCs w:val="28"/>
        </w:rPr>
        <w:t>в 2018 году – 95,9%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4B8E" w:rsidRPr="00F7787C">
        <w:rPr>
          <w:rFonts w:ascii="Times New Roman" w:hAnsi="Times New Roman" w:cs="Times New Roman"/>
          <w:i/>
          <w:sz w:val="28"/>
          <w:szCs w:val="28"/>
        </w:rPr>
        <w:t xml:space="preserve">3506 чел.;. </w:t>
      </w:r>
      <w:r w:rsidR="004C210C" w:rsidRPr="00F7787C">
        <w:rPr>
          <w:rFonts w:ascii="Times New Roman" w:hAnsi="Times New Roman" w:cs="Times New Roman"/>
          <w:i/>
          <w:sz w:val="28"/>
          <w:szCs w:val="28"/>
        </w:rPr>
        <w:t>в 2017 году – 92,9%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210C" w:rsidRPr="00F7787C">
        <w:rPr>
          <w:rFonts w:ascii="Times New Roman" w:hAnsi="Times New Roman" w:cs="Times New Roman"/>
          <w:i/>
          <w:sz w:val="28"/>
          <w:szCs w:val="28"/>
        </w:rPr>
        <w:t>3228 чел</w:t>
      </w:r>
      <w:r w:rsidR="001A4B8E" w:rsidRPr="00F7787C">
        <w:rPr>
          <w:rFonts w:ascii="Times New Roman" w:hAnsi="Times New Roman" w:cs="Times New Roman"/>
          <w:i/>
          <w:sz w:val="28"/>
          <w:szCs w:val="28"/>
        </w:rPr>
        <w:t>.</w:t>
      </w:r>
      <w:r w:rsidR="00405185" w:rsidRPr="00F778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210C" w:rsidRPr="00F7787C">
        <w:rPr>
          <w:rFonts w:ascii="Times New Roman" w:hAnsi="Times New Roman" w:cs="Times New Roman"/>
          <w:i/>
          <w:sz w:val="28"/>
          <w:szCs w:val="28"/>
        </w:rPr>
        <w:t>в 2016 году – 94,7%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C210C" w:rsidRPr="00F7787C">
        <w:rPr>
          <w:rFonts w:ascii="Times New Roman" w:hAnsi="Times New Roman" w:cs="Times New Roman"/>
          <w:i/>
          <w:sz w:val="28"/>
          <w:szCs w:val="28"/>
        </w:rPr>
        <w:t xml:space="preserve"> 3288 чел</w:t>
      </w:r>
      <w:r w:rsidR="001A4B8E" w:rsidRPr="00F7787C">
        <w:rPr>
          <w:rFonts w:ascii="Times New Roman" w:hAnsi="Times New Roman" w:cs="Times New Roman"/>
          <w:i/>
          <w:sz w:val="28"/>
          <w:szCs w:val="28"/>
        </w:rPr>
        <w:t>.</w:t>
      </w:r>
      <w:r w:rsidR="004C210C" w:rsidRPr="00F7787C">
        <w:rPr>
          <w:rFonts w:ascii="Times New Roman" w:hAnsi="Times New Roman" w:cs="Times New Roman"/>
          <w:i/>
          <w:sz w:val="28"/>
          <w:szCs w:val="28"/>
        </w:rPr>
        <w:t>).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Неполную занятость в 201</w:t>
      </w:r>
      <w:r w:rsidR="00E257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имели </w:t>
      </w:r>
      <w:r w:rsidR="00E25766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 xml:space="preserve">сотрудника: </w:t>
      </w:r>
      <w:r w:rsidR="00E25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из категории руководящих работников, 9</w:t>
      </w:r>
      <w:r w:rsidR="00E2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E257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257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учебно-вспомогательный персонал и обслуживающий персонал – </w:t>
      </w:r>
      <w:r w:rsidR="00E25766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E25766">
        <w:rPr>
          <w:rFonts w:ascii="Times New Roman" w:hAnsi="Times New Roman" w:cs="Times New Roman"/>
          <w:sz w:val="28"/>
          <w:szCs w:val="28"/>
        </w:rPr>
        <w:t>, что составляет 40,5% от общего числа сотрудников, имеющих неполную занятость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8A1B34" w:rsidP="004C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5</w:t>
      </w:r>
      <w:r w:rsidR="004C210C">
        <w:rPr>
          <w:rFonts w:ascii="Times New Roman" w:hAnsi="Times New Roman" w:cs="Times New Roman"/>
          <w:i/>
          <w:sz w:val="24"/>
          <w:szCs w:val="24"/>
        </w:rPr>
        <w:t>. Сотрудники</w:t>
      </w:r>
      <w:r w:rsidR="004C210C">
        <w:rPr>
          <w:rFonts w:ascii="Times New Roman" w:hAnsi="Times New Roman" w:cs="Times New Roman"/>
          <w:sz w:val="28"/>
          <w:szCs w:val="28"/>
        </w:rPr>
        <w:t xml:space="preserve"> </w:t>
      </w:r>
      <w:r w:rsidR="004C210C">
        <w:rPr>
          <w:rFonts w:ascii="Times New Roman" w:hAnsi="Times New Roman" w:cs="Times New Roman"/>
          <w:i/>
          <w:sz w:val="24"/>
          <w:szCs w:val="24"/>
        </w:rPr>
        <w:t xml:space="preserve">организаций дополнительного образования, имевшие </w:t>
      </w:r>
      <w:r w:rsidR="004C210C" w:rsidRPr="00405185">
        <w:rPr>
          <w:rFonts w:ascii="Times New Roman" w:hAnsi="Times New Roman" w:cs="Times New Roman"/>
          <w:b/>
          <w:i/>
          <w:sz w:val="24"/>
          <w:szCs w:val="24"/>
        </w:rPr>
        <w:t xml:space="preserve">неполную </w:t>
      </w:r>
      <w:r w:rsidR="004C210C">
        <w:rPr>
          <w:rFonts w:ascii="Times New Roman" w:hAnsi="Times New Roman" w:cs="Times New Roman"/>
          <w:i/>
          <w:sz w:val="24"/>
          <w:szCs w:val="24"/>
        </w:rPr>
        <w:t>занятость в 2015- 201</w:t>
      </w:r>
      <w:r w:rsidR="001A4B8E">
        <w:rPr>
          <w:rFonts w:ascii="Times New Roman" w:hAnsi="Times New Roman" w:cs="Times New Roman"/>
          <w:i/>
          <w:sz w:val="24"/>
          <w:szCs w:val="24"/>
        </w:rPr>
        <w:t>9</w:t>
      </w:r>
      <w:r w:rsidR="004C210C">
        <w:rPr>
          <w:rFonts w:ascii="Times New Roman" w:hAnsi="Times New Roman" w:cs="Times New Roman"/>
          <w:i/>
          <w:sz w:val="24"/>
          <w:szCs w:val="24"/>
        </w:rPr>
        <w:t xml:space="preserve"> гг. </w:t>
      </w:r>
    </w:p>
    <w:tbl>
      <w:tblPr>
        <w:tblStyle w:val="aa"/>
        <w:tblW w:w="9463" w:type="dxa"/>
        <w:tblInd w:w="108" w:type="dxa"/>
        <w:tblLook w:val="04A0" w:firstRow="1" w:lastRow="0" w:firstColumn="1" w:lastColumn="0" w:noHBand="0" w:noVBand="1"/>
      </w:tblPr>
      <w:tblGrid>
        <w:gridCol w:w="3587"/>
        <w:gridCol w:w="1175"/>
        <w:gridCol w:w="1175"/>
        <w:gridCol w:w="1175"/>
        <w:gridCol w:w="1175"/>
        <w:gridCol w:w="1176"/>
      </w:tblGrid>
      <w:tr w:rsidR="0040227D" w:rsidTr="0040227D"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27D" w:rsidRDefault="0040227D" w:rsidP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0227D" w:rsidTr="00C962E7"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сотрудников:</w:t>
            </w:r>
          </w:p>
        </w:tc>
        <w:tc>
          <w:tcPr>
            <w:tcW w:w="58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(чел.)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Pr="00E25766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Pr="00E25766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Pr="00E25766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0227D" w:rsidTr="00E25766">
        <w:trPr>
          <w:trHeight w:val="283"/>
        </w:trPr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7D" w:rsidRDefault="00402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27D" w:rsidRDefault="0040227D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27D" w:rsidRPr="00E25766" w:rsidRDefault="00E25766" w:rsidP="00E2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4C210C" w:rsidRDefault="004C210C" w:rsidP="004C210C">
      <w:pPr>
        <w:tabs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210C" w:rsidRDefault="004C210C" w:rsidP="004C210C">
      <w:pPr>
        <w:tabs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совместительство осуществляет каждый пятый сотрудник – </w:t>
      </w:r>
      <w:r w:rsidR="00E41657">
        <w:rPr>
          <w:rFonts w:ascii="Times New Roman" w:hAnsi="Times New Roman" w:cs="Times New Roman"/>
          <w:sz w:val="28"/>
          <w:szCs w:val="28"/>
        </w:rPr>
        <w:t xml:space="preserve">752, что составляет </w:t>
      </w:r>
      <w:r w:rsidR="0040227D">
        <w:rPr>
          <w:rFonts w:ascii="Times New Roman" w:hAnsi="Times New Roman" w:cs="Times New Roman"/>
          <w:sz w:val="28"/>
          <w:szCs w:val="28"/>
        </w:rPr>
        <w:t xml:space="preserve">20,25% </w:t>
      </w:r>
      <w:r w:rsidR="00E41657">
        <w:rPr>
          <w:rFonts w:ascii="Times New Roman" w:hAnsi="Times New Roman" w:cs="Times New Roman"/>
          <w:sz w:val="28"/>
          <w:szCs w:val="28"/>
        </w:rPr>
        <w:t>(</w:t>
      </w:r>
      <w:r w:rsidR="0040227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27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- 20,2%, </w:t>
      </w:r>
      <w:r w:rsidR="0040227D">
        <w:rPr>
          <w:rFonts w:ascii="Times New Roman" w:hAnsi="Times New Roman" w:cs="Times New Roman"/>
          <w:sz w:val="28"/>
          <w:szCs w:val="28"/>
        </w:rPr>
        <w:t>2017 г. -</w:t>
      </w:r>
      <w:r>
        <w:rPr>
          <w:rFonts w:ascii="Times New Roman" w:hAnsi="Times New Roman" w:cs="Times New Roman"/>
          <w:sz w:val="28"/>
          <w:szCs w:val="28"/>
        </w:rPr>
        <w:t xml:space="preserve"> 20,7%, 2016 г</w:t>
      </w:r>
      <w:r w:rsidR="0040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20,2%). Стоит отметить, что большая часть внутренних совместителей приходится на долю педагогических работников –  </w:t>
      </w:r>
      <w:r w:rsidR="00CD01F7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человек (51,</w:t>
      </w:r>
      <w:r w:rsidR="00CD01F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% от общего количества внутренних совместителей). В 201</w:t>
      </w:r>
      <w:r w:rsidR="00CD01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этот показатель фиксировался на уровне </w:t>
      </w:r>
      <w:r w:rsidR="00CD01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1F7">
        <w:rPr>
          <w:rFonts w:ascii="Times New Roman" w:hAnsi="Times New Roman" w:cs="Times New Roman"/>
          <w:sz w:val="28"/>
          <w:szCs w:val="28"/>
        </w:rPr>
        <w:t xml:space="preserve">51,8%, в 2017 - </w:t>
      </w:r>
      <w:r>
        <w:rPr>
          <w:rFonts w:ascii="Times New Roman" w:hAnsi="Times New Roman" w:cs="Times New Roman"/>
          <w:sz w:val="28"/>
          <w:szCs w:val="28"/>
        </w:rPr>
        <w:t xml:space="preserve">52,3%, в 2016 году - 51,1%. </w:t>
      </w:r>
    </w:p>
    <w:p w:rsidR="004C210C" w:rsidRDefault="004C210C" w:rsidP="004C210C">
      <w:pPr>
        <w:tabs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hanging="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</w:rPr>
        <w:drawing>
          <wp:inline distT="0" distB="0" distL="0" distR="0">
            <wp:extent cx="5810250" cy="29622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6B9" w:rsidRDefault="006006B9" w:rsidP="00797D8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96050" cy="4533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06B9" w:rsidRDefault="006006B9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Анализ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категорийности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ОДО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C9D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кадрового состава </w:t>
      </w:r>
      <w:r w:rsidR="007D7343">
        <w:rPr>
          <w:rFonts w:ascii="Times New Roman" w:hAnsi="Times New Roman" w:cs="Times New Roman"/>
          <w:sz w:val="28"/>
          <w:szCs w:val="28"/>
        </w:rPr>
        <w:t xml:space="preserve">(по данным статистики на 01.01.2020 года)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отмечается высокий процент </w:t>
      </w:r>
      <w:r w:rsidRPr="007D734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не имеющих квалификационной категории</w:t>
      </w:r>
      <w:r w:rsidR="007D7343">
        <w:rPr>
          <w:rFonts w:ascii="Times New Roman" w:hAnsi="Times New Roman" w:cs="Times New Roman"/>
          <w:sz w:val="28"/>
          <w:szCs w:val="28"/>
        </w:rPr>
        <w:t xml:space="preserve"> (64,2%)</w:t>
      </w:r>
      <w:r w:rsidR="00CB0AC1">
        <w:rPr>
          <w:rFonts w:ascii="Times New Roman" w:hAnsi="Times New Roman" w:cs="Times New Roman"/>
          <w:sz w:val="28"/>
          <w:szCs w:val="28"/>
        </w:rPr>
        <w:t xml:space="preserve">. При этом следует отметить </w:t>
      </w:r>
      <w:r w:rsidR="00CB0AC1" w:rsidRPr="008B3B40">
        <w:rPr>
          <w:rFonts w:ascii="Times New Roman" w:hAnsi="Times New Roman" w:cs="Times New Roman"/>
          <w:b/>
          <w:sz w:val="28"/>
          <w:szCs w:val="28"/>
        </w:rPr>
        <w:t>рост доли</w:t>
      </w:r>
      <w:r w:rsidR="00CB0AC1">
        <w:rPr>
          <w:rFonts w:ascii="Times New Roman" w:hAnsi="Times New Roman" w:cs="Times New Roman"/>
          <w:sz w:val="28"/>
          <w:szCs w:val="28"/>
        </w:rPr>
        <w:t xml:space="preserve"> </w:t>
      </w:r>
      <w:r w:rsidR="00CB0AC1" w:rsidRPr="007D734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CB0AC1">
        <w:rPr>
          <w:rFonts w:ascii="Times New Roman" w:hAnsi="Times New Roman" w:cs="Times New Roman"/>
          <w:sz w:val="28"/>
          <w:szCs w:val="28"/>
        </w:rPr>
        <w:t xml:space="preserve">, </w:t>
      </w:r>
      <w:r w:rsidR="00CB0AC1" w:rsidRPr="008B3B40">
        <w:rPr>
          <w:rFonts w:ascii="Times New Roman" w:hAnsi="Times New Roman" w:cs="Times New Roman"/>
          <w:b/>
          <w:sz w:val="28"/>
          <w:szCs w:val="28"/>
        </w:rPr>
        <w:t>не имеющих квалификационной категории</w:t>
      </w:r>
      <w:r w:rsidR="00CB0AC1">
        <w:rPr>
          <w:rFonts w:ascii="Times New Roman" w:hAnsi="Times New Roman" w:cs="Times New Roman"/>
          <w:sz w:val="28"/>
          <w:szCs w:val="28"/>
        </w:rPr>
        <w:t xml:space="preserve">, на </w:t>
      </w:r>
      <w:r w:rsidR="008B3B40">
        <w:rPr>
          <w:rFonts w:ascii="Times New Roman" w:hAnsi="Times New Roman" w:cs="Times New Roman"/>
          <w:sz w:val="28"/>
          <w:szCs w:val="28"/>
        </w:rPr>
        <w:t>11,4%</w:t>
      </w:r>
      <w:r w:rsidR="00CB0AC1" w:rsidRPr="00CB0AC1">
        <w:rPr>
          <w:rFonts w:ascii="Times New Roman" w:hAnsi="Times New Roman" w:cs="Times New Roman"/>
          <w:i/>
          <w:sz w:val="28"/>
          <w:szCs w:val="28"/>
        </w:rPr>
        <w:t xml:space="preserve"> (справочно: </w:t>
      </w:r>
      <w:r w:rsidRPr="00CB0AC1">
        <w:rPr>
          <w:rFonts w:ascii="Times New Roman" w:hAnsi="Times New Roman" w:cs="Times New Roman"/>
          <w:i/>
          <w:sz w:val="28"/>
          <w:szCs w:val="28"/>
        </w:rPr>
        <w:t xml:space="preserve">в 2018 году, отсутствует квалификационная категория – </w:t>
      </w:r>
      <w:r w:rsidR="007D7343" w:rsidRPr="00CB0AC1">
        <w:rPr>
          <w:rFonts w:ascii="Times New Roman" w:hAnsi="Times New Roman" w:cs="Times New Roman"/>
          <w:i/>
          <w:sz w:val="28"/>
          <w:szCs w:val="28"/>
        </w:rPr>
        <w:t>52,8</w:t>
      </w:r>
      <w:r w:rsidRPr="00CB0AC1">
        <w:rPr>
          <w:rFonts w:ascii="Times New Roman" w:hAnsi="Times New Roman" w:cs="Times New Roman"/>
          <w:i/>
          <w:sz w:val="28"/>
          <w:szCs w:val="28"/>
        </w:rPr>
        <w:t>%</w:t>
      </w:r>
      <w:r w:rsidR="00CB0AC1" w:rsidRPr="00CB0AC1">
        <w:rPr>
          <w:rFonts w:ascii="Times New Roman" w:hAnsi="Times New Roman" w:cs="Times New Roman"/>
          <w:i/>
          <w:sz w:val="28"/>
          <w:szCs w:val="28"/>
        </w:rPr>
        <w:t>)</w:t>
      </w:r>
      <w:r w:rsidRPr="00CB0AC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имеет только каждый пятый сотрудник – </w:t>
      </w:r>
      <w:r w:rsidR="007D7343">
        <w:rPr>
          <w:rFonts w:ascii="Times New Roman" w:hAnsi="Times New Roman" w:cs="Times New Roman"/>
          <w:sz w:val="28"/>
          <w:szCs w:val="28"/>
        </w:rPr>
        <w:t>18,7% (</w:t>
      </w:r>
      <w:r w:rsidR="007D7343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7D7343" w:rsidRPr="007D7343">
        <w:rPr>
          <w:rFonts w:ascii="Times New Roman" w:hAnsi="Times New Roman" w:cs="Times New Roman"/>
          <w:i/>
          <w:sz w:val="28"/>
          <w:szCs w:val="28"/>
        </w:rPr>
        <w:t>в 2018</w:t>
      </w:r>
      <w:r w:rsidR="007D7343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7D7343" w:rsidRPr="007D734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D7343">
        <w:rPr>
          <w:rFonts w:ascii="Times New Roman" w:hAnsi="Times New Roman" w:cs="Times New Roman"/>
          <w:i/>
          <w:sz w:val="28"/>
          <w:szCs w:val="28"/>
        </w:rPr>
        <w:t>19,2%</w:t>
      </w:r>
      <w:r w:rsidR="007D7343" w:rsidRPr="007D7343">
        <w:rPr>
          <w:rFonts w:ascii="Times New Roman" w:hAnsi="Times New Roman" w:cs="Times New Roman"/>
          <w:i/>
          <w:sz w:val="28"/>
          <w:szCs w:val="28"/>
        </w:rPr>
        <w:t>,</w:t>
      </w:r>
      <w:r w:rsidRPr="007D73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2017 году – </w:t>
      </w:r>
      <w:r w:rsidRPr="007D7343">
        <w:rPr>
          <w:rFonts w:ascii="Times New Roman" w:hAnsi="Times New Roman" w:cs="Times New Roman"/>
          <w:i/>
          <w:sz w:val="28"/>
          <w:szCs w:val="28"/>
        </w:rPr>
        <w:t>31,1%</w:t>
      </w:r>
      <w:r>
        <w:rPr>
          <w:rFonts w:ascii="Times New Roman" w:hAnsi="Times New Roman" w:cs="Times New Roman"/>
          <w:i/>
          <w:sz w:val="28"/>
          <w:szCs w:val="28"/>
        </w:rPr>
        <w:t>, в 2016 году – 29,8%</w:t>
      </w:r>
      <w:r w:rsidRPr="007D7343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первую – </w:t>
      </w:r>
      <w:r w:rsidR="007D7343">
        <w:rPr>
          <w:rFonts w:ascii="Times New Roman" w:hAnsi="Times New Roman" w:cs="Times New Roman"/>
          <w:sz w:val="28"/>
          <w:szCs w:val="28"/>
        </w:rPr>
        <w:t>9,32% (</w:t>
      </w:r>
      <w:r w:rsidR="00312C9D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7D7343" w:rsidRPr="00312C9D">
        <w:rPr>
          <w:rFonts w:ascii="Times New Roman" w:hAnsi="Times New Roman" w:cs="Times New Roman"/>
          <w:i/>
          <w:sz w:val="28"/>
          <w:szCs w:val="28"/>
        </w:rPr>
        <w:t>в 2018 году -</w:t>
      </w:r>
      <w:r w:rsidR="00312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C9D">
        <w:rPr>
          <w:rFonts w:ascii="Times New Roman" w:hAnsi="Times New Roman" w:cs="Times New Roman"/>
          <w:i/>
          <w:sz w:val="28"/>
          <w:szCs w:val="28"/>
        </w:rPr>
        <w:t>8,3%</w:t>
      </w:r>
      <w:r w:rsidR="00312C9D" w:rsidRPr="00312C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2C9D">
        <w:rPr>
          <w:rFonts w:ascii="Times New Roman" w:hAnsi="Times New Roman" w:cs="Times New Roman"/>
          <w:i/>
          <w:sz w:val="28"/>
          <w:szCs w:val="28"/>
        </w:rPr>
        <w:t>в 2017 году – 14,7%, в 2016 году - 14,6%)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C9D" w:rsidRDefault="00312C9D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C9D" w:rsidRDefault="00312C9D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2C9D" w:rsidRDefault="00312C9D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EA5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2533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010A" w:rsidRDefault="00DB010A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образовательного уровня педагогических и руководящих работников ОДО</w:t>
      </w:r>
      <w:r w:rsidR="00983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2C0" w:rsidRPr="00E72328" w:rsidRDefault="001F454B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28">
        <w:rPr>
          <w:rFonts w:ascii="Times New Roman" w:hAnsi="Times New Roman" w:cs="Times New Roman"/>
          <w:sz w:val="28"/>
          <w:szCs w:val="28"/>
        </w:rPr>
        <w:t>На 01.01.2020</w:t>
      </w:r>
      <w:r w:rsidR="004C210C" w:rsidRPr="00E72328">
        <w:rPr>
          <w:rFonts w:ascii="Times New Roman" w:hAnsi="Times New Roman" w:cs="Times New Roman"/>
          <w:sz w:val="28"/>
          <w:szCs w:val="28"/>
        </w:rPr>
        <w:t xml:space="preserve"> г. (согласно статистике) высшее профессиональное образование имели – </w:t>
      </w:r>
      <w:r w:rsidR="00B502C0" w:rsidRPr="00E72328">
        <w:rPr>
          <w:rFonts w:ascii="Times New Roman" w:hAnsi="Times New Roman" w:cs="Times New Roman"/>
          <w:sz w:val="28"/>
          <w:szCs w:val="28"/>
        </w:rPr>
        <w:t xml:space="preserve">85,2% </w:t>
      </w:r>
      <w:r w:rsidR="004C210C" w:rsidRPr="00E72328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работников. </w:t>
      </w:r>
      <w:r w:rsidR="004C210C" w:rsidRPr="00E72328">
        <w:rPr>
          <w:rFonts w:ascii="Times New Roman" w:hAnsi="Times New Roman" w:cs="Times New Roman"/>
          <w:i/>
          <w:sz w:val="28"/>
          <w:szCs w:val="28"/>
        </w:rPr>
        <w:t>(Справочно:</w:t>
      </w:r>
      <w:r w:rsidR="00B502C0" w:rsidRPr="00E72328">
        <w:rPr>
          <w:rFonts w:ascii="Times New Roman" w:hAnsi="Times New Roman" w:cs="Times New Roman"/>
          <w:i/>
          <w:sz w:val="28"/>
          <w:szCs w:val="28"/>
        </w:rPr>
        <w:t xml:space="preserve"> в 2018 году данный показатель составлял – 79,0%,</w:t>
      </w:r>
      <w:r w:rsidR="004C210C" w:rsidRPr="00E72328">
        <w:rPr>
          <w:rFonts w:ascii="Times New Roman" w:hAnsi="Times New Roman" w:cs="Times New Roman"/>
          <w:i/>
          <w:sz w:val="28"/>
          <w:szCs w:val="28"/>
        </w:rPr>
        <w:t xml:space="preserve"> в 2017 году – 76,2%, в 2016 году – 74,6%, в 2015 году – 74,6%</w:t>
      </w:r>
      <w:r w:rsidR="00B502C0" w:rsidRPr="00E72328">
        <w:rPr>
          <w:rFonts w:ascii="Times New Roman" w:hAnsi="Times New Roman" w:cs="Times New Roman"/>
          <w:i/>
          <w:sz w:val="28"/>
          <w:szCs w:val="28"/>
        </w:rPr>
        <w:t>)</w:t>
      </w:r>
      <w:r w:rsidR="004C210C" w:rsidRPr="00E7232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02C0" w:rsidRPr="00E72328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28">
        <w:rPr>
          <w:rFonts w:ascii="Times New Roman" w:hAnsi="Times New Roman" w:cs="Times New Roman"/>
          <w:i/>
          <w:sz w:val="28"/>
          <w:szCs w:val="28"/>
        </w:rPr>
        <w:t>С</w:t>
      </w:r>
      <w:r w:rsidRPr="00E72328"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 </w:t>
      </w:r>
      <w:r w:rsidR="00B502C0" w:rsidRPr="00E72328">
        <w:rPr>
          <w:rFonts w:ascii="Times New Roman" w:hAnsi="Times New Roman" w:cs="Times New Roman"/>
          <w:sz w:val="28"/>
          <w:szCs w:val="28"/>
        </w:rPr>
        <w:t>–</w:t>
      </w:r>
      <w:r w:rsidRPr="00E72328">
        <w:rPr>
          <w:rFonts w:ascii="Times New Roman" w:hAnsi="Times New Roman" w:cs="Times New Roman"/>
          <w:sz w:val="28"/>
          <w:szCs w:val="28"/>
        </w:rPr>
        <w:t xml:space="preserve"> </w:t>
      </w:r>
      <w:r w:rsidR="00B502C0" w:rsidRPr="00E72328">
        <w:rPr>
          <w:rFonts w:ascii="Times New Roman" w:hAnsi="Times New Roman" w:cs="Times New Roman"/>
          <w:sz w:val="28"/>
          <w:szCs w:val="28"/>
        </w:rPr>
        <w:t xml:space="preserve">13,39% </w:t>
      </w:r>
      <w:r w:rsidRPr="00E72328">
        <w:rPr>
          <w:rFonts w:ascii="Times New Roman" w:hAnsi="Times New Roman" w:cs="Times New Roman"/>
          <w:sz w:val="28"/>
          <w:szCs w:val="28"/>
        </w:rPr>
        <w:t>работников. (</w:t>
      </w:r>
      <w:r w:rsidRPr="00E72328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="00B502C0" w:rsidRPr="00E72328">
        <w:rPr>
          <w:rFonts w:ascii="Times New Roman" w:hAnsi="Times New Roman" w:cs="Times New Roman"/>
          <w:i/>
          <w:sz w:val="28"/>
          <w:szCs w:val="28"/>
        </w:rPr>
        <w:t xml:space="preserve"> в 2018 году 18,7%,</w:t>
      </w:r>
      <w:r w:rsidRPr="00E72328">
        <w:rPr>
          <w:rFonts w:ascii="Times New Roman" w:hAnsi="Times New Roman" w:cs="Times New Roman"/>
          <w:i/>
          <w:sz w:val="28"/>
          <w:szCs w:val="28"/>
        </w:rPr>
        <w:t xml:space="preserve"> в 2017</w:t>
      </w:r>
      <w:r w:rsidR="00B502C0" w:rsidRPr="00E72328">
        <w:rPr>
          <w:rFonts w:ascii="Times New Roman" w:hAnsi="Times New Roman" w:cs="Times New Roman"/>
          <w:i/>
          <w:sz w:val="28"/>
          <w:szCs w:val="28"/>
        </w:rPr>
        <w:t>году</w:t>
      </w:r>
      <w:r w:rsidRPr="00E72328">
        <w:rPr>
          <w:rFonts w:ascii="Times New Roman" w:hAnsi="Times New Roman" w:cs="Times New Roman"/>
          <w:i/>
          <w:sz w:val="28"/>
          <w:szCs w:val="28"/>
        </w:rPr>
        <w:t xml:space="preserve"> – 21,3%, в 2016 году - 23,1%, в 2015 году - 21,8%).</w:t>
      </w:r>
      <w:r w:rsidRPr="00E7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0C" w:rsidRPr="00E72328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28">
        <w:rPr>
          <w:rFonts w:ascii="Times New Roman" w:hAnsi="Times New Roman" w:cs="Times New Roman"/>
          <w:sz w:val="28"/>
          <w:szCs w:val="28"/>
        </w:rPr>
        <w:t>Стоит отметить, что доля работников, имеющих только среднее общее образование, уменьшилась с 1,</w:t>
      </w:r>
      <w:r w:rsidR="00E72328" w:rsidRPr="00E72328">
        <w:rPr>
          <w:rFonts w:ascii="Times New Roman" w:hAnsi="Times New Roman" w:cs="Times New Roman"/>
          <w:sz w:val="28"/>
          <w:szCs w:val="28"/>
        </w:rPr>
        <w:t>2</w:t>
      </w:r>
      <w:r w:rsidRPr="00E72328">
        <w:rPr>
          <w:rFonts w:ascii="Times New Roman" w:hAnsi="Times New Roman" w:cs="Times New Roman"/>
          <w:sz w:val="28"/>
          <w:szCs w:val="28"/>
        </w:rPr>
        <w:t xml:space="preserve">% </w:t>
      </w:r>
      <w:r w:rsidR="00E72328">
        <w:rPr>
          <w:rFonts w:ascii="Times New Roman" w:hAnsi="Times New Roman" w:cs="Times New Roman"/>
          <w:sz w:val="28"/>
          <w:szCs w:val="28"/>
        </w:rPr>
        <w:t>(</w:t>
      </w:r>
      <w:r w:rsidR="00983240">
        <w:rPr>
          <w:rFonts w:ascii="Times New Roman" w:hAnsi="Times New Roman" w:cs="Times New Roman"/>
          <w:sz w:val="28"/>
          <w:szCs w:val="28"/>
        </w:rPr>
        <w:t xml:space="preserve">в 2015 г., 29 </w:t>
      </w:r>
      <w:r w:rsidR="00E72328">
        <w:rPr>
          <w:rFonts w:ascii="Times New Roman" w:hAnsi="Times New Roman" w:cs="Times New Roman"/>
          <w:sz w:val="28"/>
          <w:szCs w:val="28"/>
        </w:rPr>
        <w:t xml:space="preserve">чел.) </w:t>
      </w:r>
      <w:r w:rsidRPr="00E72328">
        <w:rPr>
          <w:rFonts w:ascii="Times New Roman" w:hAnsi="Times New Roman" w:cs="Times New Roman"/>
          <w:sz w:val="28"/>
          <w:szCs w:val="28"/>
        </w:rPr>
        <w:t xml:space="preserve">до </w:t>
      </w:r>
      <w:r w:rsidR="00E72328" w:rsidRPr="00E72328">
        <w:rPr>
          <w:rFonts w:ascii="Times New Roman" w:hAnsi="Times New Roman" w:cs="Times New Roman"/>
          <w:sz w:val="28"/>
          <w:szCs w:val="28"/>
        </w:rPr>
        <w:t>0,8</w:t>
      </w:r>
      <w:r w:rsidRPr="00E72328">
        <w:rPr>
          <w:rFonts w:ascii="Times New Roman" w:hAnsi="Times New Roman" w:cs="Times New Roman"/>
          <w:sz w:val="28"/>
          <w:szCs w:val="28"/>
        </w:rPr>
        <w:t>%</w:t>
      </w:r>
      <w:r w:rsidR="00983240">
        <w:rPr>
          <w:rFonts w:ascii="Times New Roman" w:hAnsi="Times New Roman" w:cs="Times New Roman"/>
          <w:sz w:val="28"/>
          <w:szCs w:val="28"/>
        </w:rPr>
        <w:t xml:space="preserve"> (в 2019 г., 18 чел.)</w:t>
      </w:r>
      <w:r w:rsidRPr="00E72328">
        <w:rPr>
          <w:rFonts w:ascii="Times New Roman" w:hAnsi="Times New Roman" w:cs="Times New Roman"/>
          <w:sz w:val="28"/>
          <w:szCs w:val="28"/>
        </w:rPr>
        <w:t>. Начальное профессиональное образование имеет 0,</w:t>
      </w:r>
      <w:r w:rsidR="00E72328" w:rsidRPr="00E72328">
        <w:rPr>
          <w:rFonts w:ascii="Times New Roman" w:hAnsi="Times New Roman" w:cs="Times New Roman"/>
          <w:sz w:val="28"/>
          <w:szCs w:val="28"/>
        </w:rPr>
        <w:t>6</w:t>
      </w:r>
      <w:r w:rsidRPr="00E72328">
        <w:rPr>
          <w:rFonts w:ascii="Times New Roman" w:hAnsi="Times New Roman" w:cs="Times New Roman"/>
          <w:sz w:val="28"/>
          <w:szCs w:val="28"/>
        </w:rPr>
        <w:t>% работников</w:t>
      </w:r>
      <w:r w:rsidR="000E1A47">
        <w:rPr>
          <w:rFonts w:ascii="Times New Roman" w:hAnsi="Times New Roman" w:cs="Times New Roman"/>
          <w:sz w:val="28"/>
          <w:szCs w:val="28"/>
        </w:rPr>
        <w:t xml:space="preserve"> (13 чел.)</w:t>
      </w:r>
      <w:r w:rsidRPr="00E72328">
        <w:rPr>
          <w:rFonts w:ascii="Times New Roman" w:hAnsi="Times New Roman" w:cs="Times New Roman"/>
          <w:sz w:val="28"/>
          <w:szCs w:val="28"/>
        </w:rPr>
        <w:t>.</w:t>
      </w: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A47" w:rsidRPr="00E72328" w:rsidRDefault="000E1A47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 Динамика и</w:t>
      </w:r>
      <w:r w:rsidR="00CB0AC1">
        <w:rPr>
          <w:rFonts w:ascii="Times New Roman" w:hAnsi="Times New Roman" w:cs="Times New Roman"/>
          <w:i/>
          <w:sz w:val="24"/>
          <w:szCs w:val="24"/>
        </w:rPr>
        <w:t>зменения образовательного ценза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педагогических и руководящих работников организаций дополнительного образования.</w:t>
      </w: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74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60"/>
      </w:tblGrid>
      <w:tr w:rsidR="00B502C0" w:rsidTr="008315DA"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2C0" w:rsidRDefault="00B5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2019</w:t>
            </w:r>
          </w:p>
        </w:tc>
      </w:tr>
      <w:tr w:rsidR="00B502C0" w:rsidTr="008315DA">
        <w:tc>
          <w:tcPr>
            <w:tcW w:w="1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02C0" w:rsidRDefault="00B502C0" w:rsidP="00B5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502C0" w:rsidTr="008315DA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2C0" w:rsidRPr="00B502C0" w:rsidRDefault="00B502C0" w:rsidP="00B502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Высшее профессиональное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74,6%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1745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74,6%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1689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76,2%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1851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79,0%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1909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85,2%</w:t>
            </w:r>
          </w:p>
        </w:tc>
      </w:tr>
      <w:tr w:rsidR="00B502C0" w:rsidTr="008315DA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2C0" w:rsidRPr="00B502C0" w:rsidRDefault="00B502C0" w:rsidP="00B502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Среднее профессиональное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526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21,8%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541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23,1%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21,3%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18,7%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13,4%</w:t>
            </w:r>
          </w:p>
        </w:tc>
      </w:tr>
      <w:tr w:rsidR="00B502C0" w:rsidTr="008315DA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2C0" w:rsidRPr="00B502C0" w:rsidRDefault="00B502C0" w:rsidP="00B502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Начальное профессиональное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1,2%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0,9%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0,7%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0,6%</w:t>
            </w:r>
          </w:p>
        </w:tc>
      </w:tr>
      <w:tr w:rsidR="00B502C0" w:rsidTr="008315DA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02C0" w:rsidRPr="00B502C0" w:rsidRDefault="00B502C0" w:rsidP="00B502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2,4%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1,4%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1,4%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1,20%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C0" w:rsidRPr="00B502C0" w:rsidRDefault="00B502C0" w:rsidP="008315DA">
            <w:pPr>
              <w:ind w:left="-136" w:right="-17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2C0">
              <w:rPr>
                <w:rFonts w:ascii="Times New Roman" w:hAnsi="Times New Roman" w:cs="Times New Roman"/>
                <w:szCs w:val="24"/>
              </w:rPr>
              <w:t>0,8%</w:t>
            </w:r>
          </w:p>
        </w:tc>
      </w:tr>
    </w:tbl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5934075" cy="29622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руководящих работников организаций дополнительного образования</w:t>
      </w:r>
      <w:r w:rsidR="001C6629">
        <w:rPr>
          <w:rFonts w:ascii="Times New Roman" w:hAnsi="Times New Roman" w:cs="Times New Roman"/>
          <w:sz w:val="28"/>
          <w:szCs w:val="28"/>
        </w:rPr>
        <w:t>, имеющих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29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D57CAE">
        <w:rPr>
          <w:rFonts w:ascii="Times New Roman" w:hAnsi="Times New Roman" w:cs="Times New Roman"/>
          <w:sz w:val="28"/>
          <w:szCs w:val="28"/>
        </w:rPr>
        <w:t xml:space="preserve"> </w:t>
      </w:r>
      <w:r w:rsidR="00D57CAE" w:rsidRPr="00D57CAE">
        <w:rPr>
          <w:rFonts w:ascii="Times New Roman" w:hAnsi="Times New Roman" w:cs="Times New Roman"/>
          <w:b/>
          <w:sz w:val="28"/>
          <w:szCs w:val="28"/>
        </w:rPr>
        <w:t>педагогическое</w:t>
      </w:r>
      <w:r w:rsidR="00D57CAE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1C662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57CAE">
        <w:rPr>
          <w:rFonts w:ascii="Times New Roman" w:hAnsi="Times New Roman" w:cs="Times New Roman"/>
          <w:sz w:val="28"/>
          <w:szCs w:val="28"/>
        </w:rPr>
        <w:t>75</w:t>
      </w:r>
      <w:r w:rsidR="001C662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Среди педагогических работников </w:t>
      </w:r>
      <w:r w:rsidR="001C6629">
        <w:rPr>
          <w:rFonts w:ascii="Times New Roman" w:hAnsi="Times New Roman" w:cs="Times New Roman"/>
          <w:sz w:val="28"/>
          <w:szCs w:val="28"/>
        </w:rPr>
        <w:t xml:space="preserve">имеют высшее </w:t>
      </w:r>
      <w:r w:rsidR="001C6629" w:rsidRPr="00D57CAE">
        <w:rPr>
          <w:rFonts w:ascii="Times New Roman" w:hAnsi="Times New Roman" w:cs="Times New Roman"/>
          <w:b/>
          <w:sz w:val="28"/>
          <w:szCs w:val="28"/>
        </w:rPr>
        <w:t>педагогическое</w:t>
      </w:r>
      <w:r w:rsidR="001C6629">
        <w:rPr>
          <w:rFonts w:ascii="Times New Roman" w:hAnsi="Times New Roman" w:cs="Times New Roman"/>
          <w:sz w:val="28"/>
          <w:szCs w:val="28"/>
        </w:rPr>
        <w:t xml:space="preserve"> образование 8</w:t>
      </w:r>
      <w:r>
        <w:rPr>
          <w:rFonts w:ascii="Times New Roman" w:hAnsi="Times New Roman" w:cs="Times New Roman"/>
          <w:sz w:val="28"/>
          <w:szCs w:val="28"/>
        </w:rPr>
        <w:t>7,6%</w:t>
      </w:r>
      <w:r w:rsidR="001C6629">
        <w:rPr>
          <w:rFonts w:ascii="Times New Roman" w:hAnsi="Times New Roman" w:cs="Times New Roman"/>
          <w:sz w:val="28"/>
          <w:szCs w:val="28"/>
        </w:rPr>
        <w:t xml:space="preserve"> от общего числа педагогических работников, имеющих высшее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0C" w:rsidRDefault="001C6629" w:rsidP="00CB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образования у 17 руководителей и заместителей руководителей организаций дополнительного образования</w:t>
      </w:r>
      <w:r w:rsidR="00CB0AC1">
        <w:rPr>
          <w:rFonts w:ascii="Times New Roman" w:hAnsi="Times New Roman" w:cs="Times New Roman"/>
          <w:sz w:val="28"/>
          <w:szCs w:val="28"/>
        </w:rPr>
        <w:t xml:space="preserve">, руководящие сотрудники </w:t>
      </w:r>
      <w:r w:rsidR="004C210C">
        <w:rPr>
          <w:rFonts w:ascii="Times New Roman" w:hAnsi="Times New Roman" w:cs="Times New Roman"/>
          <w:sz w:val="28"/>
          <w:szCs w:val="28"/>
        </w:rPr>
        <w:t>с начальным профессиональным образованием</w:t>
      </w:r>
      <w:r w:rsidR="00CB0AC1" w:rsidRPr="00CB0AC1">
        <w:rPr>
          <w:rFonts w:ascii="Times New Roman" w:hAnsi="Times New Roman" w:cs="Times New Roman"/>
          <w:sz w:val="28"/>
          <w:szCs w:val="28"/>
        </w:rPr>
        <w:t xml:space="preserve"> </w:t>
      </w:r>
      <w:r w:rsidR="00CB0AC1">
        <w:rPr>
          <w:rFonts w:ascii="Times New Roman" w:hAnsi="Times New Roman" w:cs="Times New Roman"/>
          <w:sz w:val="28"/>
          <w:szCs w:val="28"/>
        </w:rPr>
        <w:t>отсутствуют</w:t>
      </w:r>
      <w:r w:rsidR="004C2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на 01.01.2019 г. у одного заместителя руководителя, а также </w:t>
      </w:r>
      <w:r w:rsidR="00B84ADF">
        <w:rPr>
          <w:rFonts w:ascii="Times New Roman" w:hAnsi="Times New Roman" w:cs="Times New Roman"/>
          <w:sz w:val="28"/>
          <w:szCs w:val="28"/>
        </w:rPr>
        <w:t xml:space="preserve">у </w:t>
      </w:r>
      <w:r w:rsidR="001C6629">
        <w:rPr>
          <w:rFonts w:ascii="Times New Roman" w:hAnsi="Times New Roman" w:cs="Times New Roman"/>
          <w:sz w:val="28"/>
          <w:szCs w:val="28"/>
        </w:rPr>
        <w:t>1</w:t>
      </w:r>
      <w:r w:rsidR="00B84ADF">
        <w:rPr>
          <w:rFonts w:ascii="Times New Roman" w:hAnsi="Times New Roman" w:cs="Times New Roman"/>
          <w:sz w:val="28"/>
          <w:szCs w:val="28"/>
        </w:rPr>
        <w:t>7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(</w:t>
      </w:r>
      <w:r w:rsidR="001C6629">
        <w:rPr>
          <w:rFonts w:ascii="Times New Roman" w:hAnsi="Times New Roman" w:cs="Times New Roman"/>
          <w:sz w:val="28"/>
          <w:szCs w:val="28"/>
        </w:rPr>
        <w:t xml:space="preserve">в 2018 году – 27 человек, </w:t>
      </w:r>
      <w:r>
        <w:rPr>
          <w:rFonts w:ascii="Times New Roman" w:hAnsi="Times New Roman" w:cs="Times New Roman"/>
          <w:sz w:val="28"/>
          <w:szCs w:val="28"/>
        </w:rPr>
        <w:t>в 2017 году - 30 человек).</w:t>
      </w: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BAD" w:rsidRDefault="00D52BAD" w:rsidP="006006B9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6475" cy="385511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BAD" w:rsidRPr="00CD1023" w:rsidRDefault="00D52BAD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Pr="00CD1023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23">
        <w:rPr>
          <w:rFonts w:ascii="Times New Roman" w:hAnsi="Times New Roman" w:cs="Times New Roman"/>
          <w:b/>
          <w:sz w:val="28"/>
          <w:szCs w:val="28"/>
        </w:rPr>
        <w:t>5. Анализ кадрового состава по стажу</w:t>
      </w:r>
    </w:p>
    <w:p w:rsidR="004C210C" w:rsidRPr="00CD1023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23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преобладают работники, имеющие стаж работы свыше 20 лет – 4</w:t>
      </w:r>
      <w:r w:rsidR="00CD1023">
        <w:rPr>
          <w:rFonts w:ascii="Times New Roman" w:hAnsi="Times New Roman" w:cs="Times New Roman"/>
          <w:sz w:val="28"/>
          <w:szCs w:val="28"/>
        </w:rPr>
        <w:t>6,82%</w:t>
      </w:r>
      <w:r w:rsidRPr="00CD1023">
        <w:rPr>
          <w:rFonts w:ascii="Times New Roman" w:hAnsi="Times New Roman" w:cs="Times New Roman"/>
          <w:sz w:val="28"/>
          <w:szCs w:val="28"/>
        </w:rPr>
        <w:t xml:space="preserve"> (</w:t>
      </w:r>
      <w:r w:rsidRPr="00CD1023">
        <w:rPr>
          <w:rFonts w:ascii="Times New Roman" w:hAnsi="Times New Roman" w:cs="Times New Roman"/>
          <w:i/>
          <w:sz w:val="28"/>
          <w:szCs w:val="28"/>
        </w:rPr>
        <w:t xml:space="preserve">справочно: в 2017 году - </w:t>
      </w:r>
      <w:r w:rsidRPr="00CD1023">
        <w:rPr>
          <w:rFonts w:ascii="Times New Roman" w:hAnsi="Times New Roman" w:cs="Times New Roman"/>
          <w:sz w:val="28"/>
          <w:szCs w:val="28"/>
        </w:rPr>
        <w:t>46,4%</w:t>
      </w:r>
      <w:r w:rsidRPr="00CD1023">
        <w:rPr>
          <w:rFonts w:ascii="Times New Roman" w:hAnsi="Times New Roman" w:cs="Times New Roman"/>
          <w:i/>
          <w:sz w:val="28"/>
          <w:szCs w:val="28"/>
        </w:rPr>
        <w:t xml:space="preserve">, в 2016 году – 45,6%, в 2015 г. – 46%). </w:t>
      </w:r>
      <w:r w:rsidRPr="00CD1023">
        <w:rPr>
          <w:rFonts w:ascii="Times New Roman" w:hAnsi="Times New Roman" w:cs="Times New Roman"/>
          <w:sz w:val="28"/>
          <w:szCs w:val="28"/>
        </w:rPr>
        <w:t xml:space="preserve">Доля работников, имеющих стаж работы до 2-х лет, в 2018 году </w:t>
      </w:r>
      <w:r w:rsidR="00B84ADF" w:rsidRPr="00CD1023">
        <w:rPr>
          <w:rFonts w:ascii="Times New Roman" w:hAnsi="Times New Roman" w:cs="Times New Roman"/>
          <w:sz w:val="28"/>
          <w:szCs w:val="28"/>
        </w:rPr>
        <w:t xml:space="preserve">снизилась до </w:t>
      </w:r>
      <w:r w:rsidRPr="00CD1023">
        <w:rPr>
          <w:rFonts w:ascii="Times New Roman" w:hAnsi="Times New Roman" w:cs="Times New Roman"/>
          <w:sz w:val="28"/>
          <w:szCs w:val="28"/>
        </w:rPr>
        <w:t>7,9%. (</w:t>
      </w:r>
      <w:r w:rsidRPr="00CD1023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="000E1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023">
        <w:rPr>
          <w:rFonts w:ascii="Times New Roman" w:hAnsi="Times New Roman" w:cs="Times New Roman"/>
          <w:i/>
          <w:sz w:val="28"/>
          <w:szCs w:val="28"/>
        </w:rPr>
        <w:t xml:space="preserve">в 2018 году – 47%, </w:t>
      </w:r>
      <w:r w:rsidRPr="00CD1023">
        <w:rPr>
          <w:rFonts w:ascii="Times New Roman" w:hAnsi="Times New Roman" w:cs="Times New Roman"/>
          <w:i/>
          <w:sz w:val="28"/>
          <w:szCs w:val="28"/>
        </w:rPr>
        <w:t xml:space="preserve">в 2017 году - </w:t>
      </w:r>
      <w:r w:rsidRPr="00CD1023">
        <w:rPr>
          <w:rFonts w:ascii="Times New Roman" w:hAnsi="Times New Roman" w:cs="Times New Roman"/>
          <w:sz w:val="28"/>
          <w:szCs w:val="28"/>
        </w:rPr>
        <w:t>7,8%</w:t>
      </w:r>
      <w:r w:rsidRPr="00CD1023">
        <w:rPr>
          <w:rFonts w:ascii="Times New Roman" w:hAnsi="Times New Roman" w:cs="Times New Roman"/>
          <w:i/>
          <w:sz w:val="28"/>
          <w:szCs w:val="28"/>
        </w:rPr>
        <w:t>, в 2016 году – 10,5%, в 2015 году – 14%</w:t>
      </w:r>
      <w:r w:rsidRPr="00CD1023">
        <w:rPr>
          <w:rFonts w:ascii="Times New Roman" w:hAnsi="Times New Roman" w:cs="Times New Roman"/>
          <w:sz w:val="28"/>
          <w:szCs w:val="28"/>
        </w:rPr>
        <w:t>). Каждый десятый работник имеет стаж работы от 2-х до 5-ти лет (</w:t>
      </w:r>
      <w:r w:rsidR="00CD1023">
        <w:rPr>
          <w:rFonts w:ascii="Times New Roman" w:hAnsi="Times New Roman" w:cs="Times New Roman"/>
          <w:sz w:val="28"/>
          <w:szCs w:val="28"/>
        </w:rPr>
        <w:t>9,72</w:t>
      </w:r>
      <w:r w:rsidRPr="00CD1023">
        <w:rPr>
          <w:rFonts w:ascii="Times New Roman" w:hAnsi="Times New Roman" w:cs="Times New Roman"/>
          <w:sz w:val="28"/>
          <w:szCs w:val="28"/>
        </w:rPr>
        <w:t>%); от 5-ти до 10 лет – 1</w:t>
      </w:r>
      <w:r w:rsidR="00CD1023">
        <w:rPr>
          <w:rFonts w:ascii="Times New Roman" w:hAnsi="Times New Roman" w:cs="Times New Roman"/>
          <w:sz w:val="28"/>
          <w:szCs w:val="28"/>
        </w:rPr>
        <w:t>2,9</w:t>
      </w:r>
      <w:r w:rsidRPr="00CD1023">
        <w:rPr>
          <w:rFonts w:ascii="Times New Roman" w:hAnsi="Times New Roman" w:cs="Times New Roman"/>
          <w:sz w:val="28"/>
          <w:szCs w:val="28"/>
        </w:rPr>
        <w:t>%; от 10-ти до 20-ти лет – 2</w:t>
      </w:r>
      <w:r w:rsidR="00CD1023">
        <w:rPr>
          <w:rFonts w:ascii="Times New Roman" w:hAnsi="Times New Roman" w:cs="Times New Roman"/>
          <w:sz w:val="28"/>
          <w:szCs w:val="28"/>
        </w:rPr>
        <w:t>3,07</w:t>
      </w:r>
      <w:r w:rsidRPr="00CD1023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831B3C" w:rsidRPr="00CD1023" w:rsidRDefault="00831B3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23" w:rsidRPr="00CD1023" w:rsidRDefault="008A1B34" w:rsidP="00CD10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  <w:r w:rsidR="00CD1023" w:rsidRPr="00CD1023">
        <w:rPr>
          <w:rFonts w:ascii="Times New Roman" w:hAnsi="Times New Roman" w:cs="Times New Roman"/>
          <w:i/>
          <w:sz w:val="24"/>
          <w:szCs w:val="24"/>
        </w:rPr>
        <w:t>. Стаж сотрудников в2019 году в разрезе категорий работников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0"/>
        <w:gridCol w:w="827"/>
        <w:gridCol w:w="828"/>
        <w:gridCol w:w="828"/>
        <w:gridCol w:w="827"/>
        <w:gridCol w:w="828"/>
        <w:gridCol w:w="828"/>
        <w:gridCol w:w="828"/>
        <w:gridCol w:w="827"/>
        <w:gridCol w:w="828"/>
        <w:gridCol w:w="828"/>
        <w:gridCol w:w="828"/>
      </w:tblGrid>
      <w:tr w:rsidR="00CD1023" w:rsidRPr="00CD1023" w:rsidTr="007D114F">
        <w:trPr>
          <w:trHeight w:val="41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B3C" w:rsidRPr="00CD1023" w:rsidRDefault="00831B3C" w:rsidP="008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023">
              <w:rPr>
                <w:rFonts w:ascii="Times New Roman" w:eastAsia="Times New Roman" w:hAnsi="Times New Roman" w:cs="Times New Roman"/>
                <w:b/>
              </w:rPr>
              <w:t>Стаж работы</w:t>
            </w:r>
          </w:p>
        </w:tc>
        <w:tc>
          <w:tcPr>
            <w:tcW w:w="9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B3C" w:rsidRPr="00CD1023" w:rsidRDefault="00831B3C" w:rsidP="008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023">
              <w:rPr>
                <w:rFonts w:ascii="Times New Roman" w:eastAsia="Times New Roman" w:hAnsi="Times New Roman" w:cs="Times New Roman"/>
                <w:b/>
              </w:rPr>
              <w:t>В разрезе категорий работников</w:t>
            </w:r>
          </w:p>
        </w:tc>
      </w:tr>
      <w:tr w:rsidR="00CD1023" w:rsidRPr="00CD1023" w:rsidTr="007D114F">
        <w:trPr>
          <w:trHeight w:val="967"/>
          <w:tblHeader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B3C" w:rsidRPr="00937A3C" w:rsidRDefault="00831B3C" w:rsidP="008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руководящие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педагогические работники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учителя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 xml:space="preserve">педагоги </w:t>
            </w:r>
            <w:proofErr w:type="spellStart"/>
            <w:r w:rsidRPr="008315DA">
              <w:rPr>
                <w:rFonts w:ascii="Times New Roman" w:eastAsia="Times New Roman" w:hAnsi="Times New Roman" w:cs="Times New Roman"/>
                <w:sz w:val="16"/>
              </w:rPr>
              <w:t>допобразования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педагоги-организаторы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социальные педагоги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тренеры-преподаватели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>методисты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315DA">
              <w:rPr>
                <w:rFonts w:ascii="Times New Roman" w:eastAsia="Times New Roman" w:hAnsi="Times New Roman" w:cs="Times New Roman"/>
                <w:sz w:val="16"/>
              </w:rPr>
              <w:t xml:space="preserve">другие </w:t>
            </w:r>
            <w:proofErr w:type="spellStart"/>
            <w:r w:rsidRPr="008315DA">
              <w:rPr>
                <w:rFonts w:ascii="Times New Roman" w:eastAsia="Times New Roman" w:hAnsi="Times New Roman" w:cs="Times New Roman"/>
                <w:sz w:val="16"/>
              </w:rPr>
              <w:t>педработники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8315DA" w:rsidRDefault="00831B3C" w:rsidP="008315DA">
            <w:pPr>
              <w:spacing w:after="0" w:line="240" w:lineRule="auto"/>
              <w:ind w:left="-71" w:right="-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8315DA">
              <w:rPr>
                <w:rFonts w:ascii="Times New Roman" w:eastAsia="Times New Roman" w:hAnsi="Times New Roman" w:cs="Times New Roman"/>
                <w:sz w:val="16"/>
              </w:rPr>
              <w:t>уч</w:t>
            </w:r>
            <w:proofErr w:type="spellEnd"/>
            <w:r w:rsidRPr="008315DA"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 w:rsidRPr="008315DA">
              <w:rPr>
                <w:rFonts w:ascii="Times New Roman" w:eastAsia="Times New Roman" w:hAnsi="Times New Roman" w:cs="Times New Roman"/>
                <w:sz w:val="16"/>
              </w:rPr>
              <w:t>всп</w:t>
            </w:r>
            <w:proofErr w:type="spellEnd"/>
            <w:r w:rsidRPr="008315DA">
              <w:rPr>
                <w:rFonts w:ascii="Times New Roman" w:eastAsia="Times New Roman" w:hAnsi="Times New Roman" w:cs="Times New Roman"/>
                <w:sz w:val="16"/>
              </w:rPr>
              <w:t xml:space="preserve"> персонал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  <w:r w:rsidRPr="00CD1023">
              <w:rPr>
                <w:rFonts w:ascii="Times New Roman" w:eastAsia="Times New Roman" w:hAnsi="Times New Roman" w:cs="Times New Roman"/>
              </w:rPr>
              <w:t xml:space="preserve">менее 2 лет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7,51%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55,91%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2,15%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27,96%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4,30%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0,36%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8,24%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5,02%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7,89%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8,96%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  <w:r w:rsidRPr="00937A3C">
              <w:rPr>
                <w:rFonts w:ascii="Times New Roman" w:eastAsia="Times New Roman" w:hAnsi="Times New Roman" w:cs="Times New Roman"/>
              </w:rPr>
              <w:t xml:space="preserve">2 </w:t>
            </w:r>
            <w:r w:rsidRPr="00CD1023">
              <w:rPr>
                <w:rFonts w:ascii="Times New Roman" w:eastAsia="Times New Roman" w:hAnsi="Times New Roman" w:cs="Times New Roman"/>
              </w:rPr>
              <w:t xml:space="preserve">- </w:t>
            </w:r>
            <w:r w:rsidRPr="00937A3C">
              <w:rPr>
                <w:rFonts w:ascii="Times New Roman" w:eastAsia="Times New Roman" w:hAnsi="Times New Roman" w:cs="Times New Roman"/>
              </w:rPr>
              <w:t>5 лет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9,72%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6,37%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62,60%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0,55%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33,80%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2,77%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0,55%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9,14%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4,16%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11,63%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5,82%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  <w:r w:rsidRPr="00937A3C">
              <w:rPr>
                <w:rFonts w:ascii="Times New Roman" w:eastAsia="Times New Roman" w:hAnsi="Times New Roman" w:cs="Times New Roman"/>
              </w:rPr>
              <w:t>5 -10 лет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12,90%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6,68%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63,26%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2,09%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29,23%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3,13%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0,63%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15,87%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6,26%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6,05%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4,38%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  <w:r w:rsidRPr="00937A3C">
              <w:rPr>
                <w:rFonts w:ascii="Times New Roman" w:eastAsia="Times New Roman" w:hAnsi="Times New Roman" w:cs="Times New Roman"/>
              </w:rPr>
              <w:t xml:space="preserve">10 </w:t>
            </w:r>
            <w:r w:rsidRPr="00CD1023">
              <w:rPr>
                <w:rFonts w:ascii="Times New Roman" w:eastAsia="Times New Roman" w:hAnsi="Times New Roman" w:cs="Times New Roman"/>
              </w:rPr>
              <w:t xml:space="preserve">- </w:t>
            </w:r>
            <w:r w:rsidRPr="00937A3C">
              <w:rPr>
                <w:rFonts w:ascii="Times New Roman" w:eastAsia="Times New Roman" w:hAnsi="Times New Roman" w:cs="Times New Roman"/>
              </w:rPr>
              <w:t>20 лет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857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23,07%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6,68%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63,26%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2,09%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29,23%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3,13%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0,63%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15,87%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6,26%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6,05%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4,38%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</w:rPr>
            </w:pPr>
            <w:r w:rsidRPr="00937A3C">
              <w:rPr>
                <w:rFonts w:ascii="Times New Roman" w:eastAsia="Times New Roman" w:hAnsi="Times New Roman" w:cs="Times New Roman"/>
              </w:rPr>
              <w:t>20 лет и более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1739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817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</w:tr>
      <w:tr w:rsidR="00CD1023" w:rsidRPr="00CD1023" w:rsidTr="00831B3C">
        <w:trPr>
          <w:trHeight w:val="25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3C" w:rsidRPr="00937A3C" w:rsidRDefault="00831B3C" w:rsidP="00937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46,82%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12,82%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46,98%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1,50%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22,48%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2,24%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0,17%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9,32%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6,10%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5,18%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3C" w:rsidRPr="00937A3C" w:rsidRDefault="00831B3C" w:rsidP="00831B3C">
            <w:pPr>
              <w:spacing w:after="0" w:line="240" w:lineRule="auto"/>
              <w:ind w:left="-78" w:right="-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</w:rPr>
              <w:t>3,22%</w:t>
            </w:r>
          </w:p>
        </w:tc>
      </w:tr>
    </w:tbl>
    <w:p w:rsidR="00112138" w:rsidRDefault="00112138" w:rsidP="007D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4F" w:rsidRDefault="007D114F" w:rsidP="007D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23">
        <w:rPr>
          <w:rFonts w:ascii="Times New Roman" w:hAnsi="Times New Roman" w:cs="Times New Roman"/>
          <w:sz w:val="28"/>
          <w:szCs w:val="28"/>
        </w:rPr>
        <w:lastRenderedPageBreak/>
        <w:t xml:space="preserve">Среди руководящих работников, стаж работы которых составляет менее 2-х лет, насчитывалось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D1023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 xml:space="preserve">в 2018 – 4 чел., </w:t>
      </w:r>
      <w:r w:rsidRPr="00CD1023">
        <w:rPr>
          <w:rFonts w:ascii="Times New Roman" w:hAnsi="Times New Roman" w:cs="Times New Roman"/>
          <w:sz w:val="28"/>
          <w:szCs w:val="28"/>
        </w:rPr>
        <w:t xml:space="preserve">в 2017 году – 7 чел., в 2016 году – 20 чел.), что составляет </w:t>
      </w:r>
      <w:r>
        <w:rPr>
          <w:rFonts w:ascii="Times New Roman" w:hAnsi="Times New Roman" w:cs="Times New Roman"/>
          <w:sz w:val="28"/>
          <w:szCs w:val="28"/>
        </w:rPr>
        <w:t>6,37%</w:t>
      </w:r>
      <w:r w:rsidRPr="00CD1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3C" w:rsidRPr="00CD1023" w:rsidRDefault="00937A3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Pr="00CD1023" w:rsidRDefault="004C210C" w:rsidP="00B84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8</w:t>
      </w:r>
      <w:r w:rsidR="00CB0AC1" w:rsidRPr="00CD1023">
        <w:rPr>
          <w:rFonts w:ascii="Times New Roman" w:hAnsi="Times New Roman" w:cs="Times New Roman"/>
          <w:i/>
          <w:sz w:val="24"/>
          <w:szCs w:val="24"/>
        </w:rPr>
        <w:t>. Стаж сотрудников</w:t>
      </w:r>
      <w:r w:rsidRPr="00CD1023">
        <w:rPr>
          <w:rFonts w:ascii="Times New Roman" w:hAnsi="Times New Roman" w:cs="Times New Roman"/>
          <w:i/>
          <w:sz w:val="24"/>
          <w:szCs w:val="24"/>
        </w:rPr>
        <w:t xml:space="preserve"> в 2015, 2016, 2017</w:t>
      </w:r>
      <w:r w:rsidR="00CD1023" w:rsidRPr="00CD1023">
        <w:rPr>
          <w:rFonts w:ascii="Times New Roman" w:hAnsi="Times New Roman" w:cs="Times New Roman"/>
          <w:i/>
          <w:sz w:val="24"/>
          <w:szCs w:val="24"/>
        </w:rPr>
        <w:t>,</w:t>
      </w:r>
      <w:r w:rsidRPr="00CD1023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CD1023" w:rsidRPr="00CD1023">
        <w:rPr>
          <w:rFonts w:ascii="Times New Roman" w:hAnsi="Times New Roman" w:cs="Times New Roman"/>
          <w:i/>
          <w:sz w:val="24"/>
          <w:szCs w:val="24"/>
        </w:rPr>
        <w:t xml:space="preserve"> и 2019</w:t>
      </w:r>
      <w:r w:rsidRPr="00CD1023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831"/>
        <w:gridCol w:w="1742"/>
        <w:gridCol w:w="1648"/>
        <w:gridCol w:w="1538"/>
        <w:gridCol w:w="1428"/>
        <w:gridCol w:w="1276"/>
      </w:tblGrid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831B3C" w:rsidP="00C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left="-21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CD1023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4"/>
                <w:szCs w:val="24"/>
              </w:rPr>
              <w:t>7,51%</w:t>
            </w:r>
          </w:p>
        </w:tc>
      </w:tr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От 2-х до 5лет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left="-21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CD1023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4"/>
                <w:szCs w:val="24"/>
              </w:rPr>
              <w:t>9,72%</w:t>
            </w:r>
          </w:p>
        </w:tc>
      </w:tr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left="-21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CD1023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4"/>
                <w:szCs w:val="24"/>
              </w:rPr>
              <w:t>12,90%</w:t>
            </w:r>
          </w:p>
        </w:tc>
      </w:tr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left="-21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CD1023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4"/>
                <w:szCs w:val="24"/>
              </w:rPr>
              <w:t>23,07%</w:t>
            </w:r>
          </w:p>
        </w:tc>
      </w:tr>
      <w:tr w:rsidR="00CD1023" w:rsidRPr="00CD1023" w:rsidTr="008315DA">
        <w:trPr>
          <w:trHeight w:val="397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B3C" w:rsidRPr="00CD1023" w:rsidRDefault="0083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left="-219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B3C" w:rsidRPr="00CD1023" w:rsidRDefault="00831B3C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3"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B3C" w:rsidRPr="00CD1023" w:rsidRDefault="00CD1023" w:rsidP="00CD1023">
            <w:pPr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4"/>
                <w:szCs w:val="24"/>
              </w:rPr>
              <w:t>46,82%</w:t>
            </w:r>
          </w:p>
        </w:tc>
      </w:tr>
    </w:tbl>
    <w:p w:rsidR="004C210C" w:rsidRPr="00CD1023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210C" w:rsidRPr="00CD1023" w:rsidRDefault="004C210C" w:rsidP="008315D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3">
        <w:rPr>
          <w:i/>
          <w:noProof/>
        </w:rPr>
        <w:drawing>
          <wp:inline distT="0" distB="0" distL="0" distR="0" wp14:anchorId="7351D5F5" wp14:editId="258A0840">
            <wp:extent cx="5934075" cy="25921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DA" w:rsidRPr="00CD1023" w:rsidRDefault="008315DA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высока среди сотрудников организаций дополнительного образования доля сотрудников, стаж работы которых составляет 20 лет и более.</w:t>
      </w: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кадрового состава по возрасту</w:t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5A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112138">
        <w:rPr>
          <w:rFonts w:ascii="Times New Roman" w:hAnsi="Times New Roman" w:cs="Times New Roman"/>
          <w:sz w:val="28"/>
          <w:szCs w:val="28"/>
        </w:rPr>
        <w:t>о данным статистики на 01.01.2020</w:t>
      </w:r>
      <w:r>
        <w:rPr>
          <w:rFonts w:ascii="Times New Roman" w:hAnsi="Times New Roman" w:cs="Times New Roman"/>
          <w:sz w:val="28"/>
          <w:szCs w:val="28"/>
        </w:rPr>
        <w:t xml:space="preserve"> г. свыше трех четвертей работников учреждений дополнительного образования в возрасте свыше 35 лет – 7</w:t>
      </w:r>
      <w:r w:rsidR="00F22F05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>%, из них практически каждый третий (2</w:t>
      </w:r>
      <w:r w:rsidR="00F22F05">
        <w:rPr>
          <w:rFonts w:ascii="Times New Roman" w:hAnsi="Times New Roman" w:cs="Times New Roman"/>
          <w:sz w:val="28"/>
          <w:szCs w:val="28"/>
        </w:rPr>
        <w:t>7,6%</w:t>
      </w:r>
      <w:r>
        <w:rPr>
          <w:rFonts w:ascii="Times New Roman" w:hAnsi="Times New Roman" w:cs="Times New Roman"/>
          <w:sz w:val="28"/>
          <w:szCs w:val="28"/>
        </w:rPr>
        <w:t>) - пенсионного возраста.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сотрудников в возрасте до 25 лет ни один не относится к категории руководящих работников, к категории педагогических работников </w:t>
      </w:r>
      <w:r w:rsidR="00F22F05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2F05">
        <w:rPr>
          <w:rFonts w:ascii="Times New Roman" w:hAnsi="Times New Roman" w:cs="Times New Roman"/>
          <w:sz w:val="28"/>
          <w:szCs w:val="28"/>
        </w:rPr>
        <w:t xml:space="preserve"> из 188 сотрудников</w:t>
      </w:r>
      <w:r w:rsidR="007F25AC">
        <w:rPr>
          <w:rFonts w:ascii="Times New Roman" w:hAnsi="Times New Roman" w:cs="Times New Roman"/>
          <w:sz w:val="28"/>
          <w:szCs w:val="28"/>
        </w:rPr>
        <w:t>.</w:t>
      </w:r>
    </w:p>
    <w:p w:rsidR="00FB1245" w:rsidRDefault="00FB1245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3E" w:rsidRDefault="00B9593E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45" w:rsidRDefault="00FB1245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99" w:rsidRDefault="00D32B99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DA" w:rsidRDefault="008315DA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05" w:rsidRDefault="008A1B34" w:rsidP="007F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9</w:t>
      </w:r>
      <w:r w:rsidR="007F25AC" w:rsidRPr="00CD10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25AC">
        <w:rPr>
          <w:rFonts w:ascii="Times New Roman" w:hAnsi="Times New Roman" w:cs="Times New Roman"/>
          <w:i/>
          <w:sz w:val="24"/>
          <w:szCs w:val="24"/>
        </w:rPr>
        <w:t xml:space="preserve">Возраст </w:t>
      </w:r>
      <w:r w:rsidR="007F25AC" w:rsidRPr="00CD1023">
        <w:rPr>
          <w:rFonts w:ascii="Times New Roman" w:hAnsi="Times New Roman" w:cs="Times New Roman"/>
          <w:i/>
          <w:sz w:val="24"/>
          <w:szCs w:val="24"/>
        </w:rPr>
        <w:t xml:space="preserve">сотрудников в </w:t>
      </w:r>
      <w:r w:rsidR="007F25AC" w:rsidRPr="007F25AC">
        <w:rPr>
          <w:rFonts w:ascii="Times New Roman" w:hAnsi="Times New Roman" w:cs="Times New Roman"/>
          <w:i/>
          <w:sz w:val="24"/>
          <w:szCs w:val="24"/>
        </w:rPr>
        <w:t xml:space="preserve">разрезе категорий работников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7"/>
        <w:gridCol w:w="828"/>
        <w:gridCol w:w="828"/>
        <w:gridCol w:w="827"/>
        <w:gridCol w:w="828"/>
        <w:gridCol w:w="828"/>
        <w:gridCol w:w="828"/>
        <w:gridCol w:w="827"/>
        <w:gridCol w:w="828"/>
        <w:gridCol w:w="828"/>
        <w:gridCol w:w="828"/>
      </w:tblGrid>
      <w:tr w:rsidR="00F22F05" w:rsidRPr="00F22F05" w:rsidTr="008315DA">
        <w:trPr>
          <w:trHeight w:val="415"/>
          <w:tblHeader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F22F05" w:rsidRPr="00F22F05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Возраст сотрудников</w:t>
            </w:r>
          </w:p>
        </w:tc>
        <w:tc>
          <w:tcPr>
            <w:tcW w:w="9105" w:type="dxa"/>
            <w:gridSpan w:val="11"/>
            <w:shd w:val="clear" w:color="000000" w:fill="FFFFFF"/>
            <w:vAlign w:val="center"/>
          </w:tcPr>
          <w:p w:rsidR="00F22F05" w:rsidRPr="00F22F05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разрезе категорий работников</w:t>
            </w:r>
          </w:p>
        </w:tc>
      </w:tr>
      <w:tr w:rsidR="00F22F05" w:rsidRPr="00F22F05" w:rsidTr="008315DA">
        <w:trPr>
          <w:trHeight w:val="967"/>
          <w:tblHeader/>
        </w:trPr>
        <w:tc>
          <w:tcPr>
            <w:tcW w:w="960" w:type="dxa"/>
            <w:vMerge/>
            <w:shd w:val="clear" w:color="000000" w:fill="FFFFFF"/>
            <w:vAlign w:val="center"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сего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руководящие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педагогические работники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учителя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педагоги </w:t>
            </w:r>
            <w:proofErr w:type="spellStart"/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допобразования</w:t>
            </w:r>
            <w:proofErr w:type="spellEnd"/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педагоги-организаторы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оциальные педагоги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тренеры-преподаватели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методисты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другие </w:t>
            </w:r>
            <w:proofErr w:type="spellStart"/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педработники</w:t>
            </w:r>
            <w:proofErr w:type="spellEnd"/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>всп</w:t>
            </w:r>
            <w:proofErr w:type="spellEnd"/>
            <w:r w:rsidRPr="00F22F0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37A3C">
              <w:rPr>
                <w:rFonts w:ascii="Times New Roman" w:eastAsia="Times New Roman" w:hAnsi="Times New Roman" w:cs="Times New Roman"/>
                <w:sz w:val="20"/>
                <w:szCs w:val="24"/>
              </w:rPr>
              <w:t>персонал</w:t>
            </w:r>
          </w:p>
        </w:tc>
      </w:tr>
      <w:tr w:rsidR="00F22F05" w:rsidRPr="00F22F05" w:rsidTr="008315DA">
        <w:trPr>
          <w:trHeight w:val="256"/>
        </w:trPr>
        <w:tc>
          <w:tcPr>
            <w:tcW w:w="960" w:type="dxa"/>
            <w:shd w:val="clear" w:color="auto" w:fill="auto"/>
            <w:noWrap/>
            <w:vAlign w:val="center"/>
          </w:tcPr>
          <w:p w:rsidR="00F22F05" w:rsidRPr="00937A3C" w:rsidRDefault="00F22F05" w:rsidP="008315DA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5,06%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80,32%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1,60%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36,70%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6,91%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0,53%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7,98%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22,34%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7,98%</w:t>
            </w:r>
          </w:p>
        </w:tc>
      </w:tr>
      <w:tr w:rsidR="00F22F05" w:rsidRPr="00F22F05" w:rsidTr="008315DA">
        <w:trPr>
          <w:trHeight w:val="2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15,83%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6,63%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68,37%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2,89%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31,46%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3,57%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1,02%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6,63%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8,50%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5,95%</w:t>
            </w:r>
          </w:p>
        </w:tc>
      </w:tr>
      <w:tr w:rsidR="00F22F05" w:rsidRPr="00F22F05" w:rsidTr="008315DA">
        <w:trPr>
          <w:trHeight w:val="2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лет и более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79,13%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11,81%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48,69%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1,87%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23,34%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2,21%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0,37%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9,60%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6,26%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5,04%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3,54%</w:t>
            </w:r>
          </w:p>
        </w:tc>
      </w:tr>
      <w:tr w:rsidR="00F22F05" w:rsidRPr="00F22F05" w:rsidTr="008315DA">
        <w:trPr>
          <w:trHeight w:val="256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22F05" w:rsidRPr="00937A3C" w:rsidRDefault="00F22F05" w:rsidP="008315DA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27,57%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7,62%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43,75%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1,46%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24,12%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1,76%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0,10%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8,89%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4,59%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2,83%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22F05" w:rsidRPr="00F22F05" w:rsidRDefault="00F22F05" w:rsidP="008315DA">
            <w:pPr>
              <w:spacing w:after="0" w:line="240" w:lineRule="auto"/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2,54%</w:t>
            </w:r>
          </w:p>
        </w:tc>
      </w:tr>
    </w:tbl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81700" cy="252056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E2F" w:rsidRDefault="00584E2F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10C" w:rsidRDefault="004C210C" w:rsidP="00B84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4ADF">
        <w:rPr>
          <w:rFonts w:ascii="Times New Roman" w:hAnsi="Times New Roman" w:cs="Times New Roman"/>
          <w:i/>
          <w:sz w:val="24"/>
          <w:szCs w:val="24"/>
        </w:rPr>
        <w:t>Распределение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руководящих и педагогических сотрудников организаций дополнительного образования </w:t>
      </w:r>
      <w:r w:rsidR="00B84ADF">
        <w:rPr>
          <w:rFonts w:ascii="Times New Roman" w:hAnsi="Times New Roman" w:cs="Times New Roman"/>
          <w:i/>
          <w:sz w:val="24"/>
          <w:szCs w:val="24"/>
        </w:rPr>
        <w:t>по возрасту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78"/>
        <w:gridCol w:w="1280"/>
        <w:gridCol w:w="1281"/>
        <w:gridCol w:w="1281"/>
        <w:gridCol w:w="1281"/>
        <w:gridCol w:w="1281"/>
        <w:gridCol w:w="1281"/>
      </w:tblGrid>
      <w:tr w:rsidR="005A20AC" w:rsidTr="008315DA">
        <w:trPr>
          <w:trHeight w:val="340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0AC" w:rsidRDefault="005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0AC" w:rsidRDefault="005A20AC" w:rsidP="005A20AC">
            <w:pPr>
              <w:ind w:left="-125"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A20AC" w:rsidTr="008315DA">
        <w:trPr>
          <w:trHeight w:val="340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0AC" w:rsidRDefault="005A20AC" w:rsidP="005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A20AC" w:rsidRPr="00F22F05" w:rsidRDefault="005A20AC" w:rsidP="005A20AC">
            <w:pPr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5,06%</w:t>
            </w:r>
          </w:p>
        </w:tc>
      </w:tr>
      <w:tr w:rsidR="005A20AC" w:rsidTr="008315DA">
        <w:trPr>
          <w:trHeight w:val="340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0AC" w:rsidRDefault="005A20AC" w:rsidP="005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A20AC" w:rsidRPr="00F22F05" w:rsidRDefault="005A20AC" w:rsidP="005A20AC">
            <w:pPr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15,83%</w:t>
            </w:r>
          </w:p>
        </w:tc>
      </w:tr>
      <w:tr w:rsidR="005A20AC" w:rsidTr="005A20AC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0AC" w:rsidRDefault="005A20AC" w:rsidP="005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и старше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A20AC" w:rsidRPr="00F22F05" w:rsidRDefault="005A20AC" w:rsidP="005A20AC">
            <w:pPr>
              <w:ind w:left="-7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79,13%</w:t>
            </w:r>
          </w:p>
        </w:tc>
      </w:tr>
    </w:tbl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0E1A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A1B34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4ADF" w:rsidRPr="00B84ADF">
        <w:rPr>
          <w:rFonts w:ascii="Times New Roman" w:hAnsi="Times New Roman" w:cs="Times New Roman"/>
          <w:i/>
          <w:sz w:val="24"/>
          <w:szCs w:val="24"/>
        </w:rPr>
        <w:t>Доля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руководящих и педагогических работников-пенсионеров </w:t>
      </w:r>
      <w:r w:rsidR="00B84ADF">
        <w:rPr>
          <w:rFonts w:ascii="Times New Roman" w:hAnsi="Times New Roman" w:cs="Times New Roman"/>
          <w:i/>
          <w:sz w:val="24"/>
          <w:szCs w:val="24"/>
        </w:rPr>
        <w:t>от общего числа педагогических работников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59"/>
        <w:gridCol w:w="1300"/>
        <w:gridCol w:w="1301"/>
        <w:gridCol w:w="1301"/>
        <w:gridCol w:w="1300"/>
        <w:gridCol w:w="1301"/>
        <w:gridCol w:w="1301"/>
      </w:tblGrid>
      <w:tr w:rsidR="005A20AC" w:rsidTr="008315DA">
        <w:trPr>
          <w:trHeight w:val="510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tabs>
                <w:tab w:val="center" w:pos="1107"/>
                <w:tab w:val="right" w:pos="2215"/>
              </w:tabs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A20AC" w:rsidTr="005A20AC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пенсионеров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20,1%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0AC" w:rsidRDefault="005A20AC" w:rsidP="005A20AC">
            <w:pPr>
              <w:ind w:left="-68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,00%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A20AC" w:rsidRPr="00F22F05" w:rsidRDefault="005A20AC" w:rsidP="005A20AC">
            <w:pPr>
              <w:ind w:left="-6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05">
              <w:rPr>
                <w:rFonts w:ascii="Times New Roman" w:eastAsia="Times New Roman" w:hAnsi="Times New Roman" w:cs="Times New Roman"/>
                <w:sz w:val="24"/>
                <w:szCs w:val="24"/>
              </w:rPr>
              <w:t>27,57%</w:t>
            </w:r>
          </w:p>
        </w:tc>
      </w:tr>
    </w:tbl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10C" w:rsidRDefault="004C210C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5962650" cy="28289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1A47" w:rsidRDefault="000E1A47" w:rsidP="004C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61" w:rsidRPr="009A6F7C" w:rsidRDefault="00991308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F7C">
        <w:rPr>
          <w:rFonts w:ascii="Times New Roman" w:hAnsi="Times New Roman" w:cs="Times New Roman"/>
          <w:sz w:val="28"/>
          <w:szCs w:val="28"/>
        </w:rPr>
        <w:t xml:space="preserve">В каждым пятом учреждении дополнительного образования руководитель </w:t>
      </w:r>
      <w:r w:rsidR="002836FD">
        <w:rPr>
          <w:rFonts w:ascii="Times New Roman" w:hAnsi="Times New Roman" w:cs="Times New Roman"/>
          <w:sz w:val="28"/>
          <w:szCs w:val="28"/>
        </w:rPr>
        <w:t xml:space="preserve">и </w:t>
      </w:r>
      <w:r w:rsidR="002836FD" w:rsidRPr="009A6F7C">
        <w:rPr>
          <w:rFonts w:ascii="Times New Roman" w:hAnsi="Times New Roman" w:cs="Times New Roman"/>
          <w:sz w:val="28"/>
          <w:szCs w:val="28"/>
        </w:rPr>
        <w:t>заместител</w:t>
      </w:r>
      <w:r w:rsidR="002836FD">
        <w:rPr>
          <w:rFonts w:ascii="Times New Roman" w:hAnsi="Times New Roman" w:cs="Times New Roman"/>
          <w:sz w:val="28"/>
          <w:szCs w:val="28"/>
        </w:rPr>
        <w:t>ь</w:t>
      </w:r>
      <w:r w:rsidR="002836FD" w:rsidRPr="009A6F7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9A6F7C">
        <w:rPr>
          <w:rFonts w:ascii="Times New Roman" w:hAnsi="Times New Roman" w:cs="Times New Roman"/>
          <w:sz w:val="28"/>
          <w:szCs w:val="28"/>
        </w:rPr>
        <w:t>пенсионного возраста</w:t>
      </w:r>
      <w:r w:rsidR="009A6F7C">
        <w:rPr>
          <w:rFonts w:ascii="Times New Roman" w:hAnsi="Times New Roman" w:cs="Times New Roman"/>
          <w:sz w:val="28"/>
          <w:szCs w:val="28"/>
        </w:rPr>
        <w:t xml:space="preserve"> </w:t>
      </w:r>
      <w:r w:rsidR="009A6F7C" w:rsidRPr="009A6F7C">
        <w:rPr>
          <w:rFonts w:ascii="Times New Roman" w:hAnsi="Times New Roman" w:cs="Times New Roman"/>
          <w:sz w:val="28"/>
          <w:szCs w:val="28"/>
        </w:rPr>
        <w:t>(</w:t>
      </w:r>
      <w:r w:rsidR="002836FD">
        <w:rPr>
          <w:rFonts w:ascii="Times New Roman" w:hAnsi="Times New Roman" w:cs="Times New Roman"/>
          <w:sz w:val="28"/>
          <w:szCs w:val="28"/>
        </w:rPr>
        <w:t xml:space="preserve">соответственно: </w:t>
      </w:r>
      <w:r w:rsidR="009A6F7C" w:rsidRPr="009A6F7C">
        <w:rPr>
          <w:rFonts w:ascii="Times New Roman" w:hAnsi="Times New Roman" w:cs="Times New Roman"/>
          <w:sz w:val="28"/>
          <w:szCs w:val="28"/>
        </w:rPr>
        <w:t>31 руководитель, 22,96% от общего числа руководителей</w:t>
      </w:r>
      <w:r w:rsidR="002836FD">
        <w:rPr>
          <w:rFonts w:ascii="Times New Roman" w:hAnsi="Times New Roman" w:cs="Times New Roman"/>
          <w:sz w:val="28"/>
          <w:szCs w:val="28"/>
        </w:rPr>
        <w:t xml:space="preserve"> и </w:t>
      </w:r>
      <w:r w:rsidR="009A6F7C">
        <w:rPr>
          <w:rFonts w:ascii="Times New Roman" w:hAnsi="Times New Roman" w:cs="Times New Roman"/>
          <w:sz w:val="28"/>
          <w:szCs w:val="28"/>
        </w:rPr>
        <w:t xml:space="preserve">44 </w:t>
      </w:r>
      <w:r w:rsidR="002836FD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9A6F7C">
        <w:rPr>
          <w:rFonts w:ascii="Times New Roman" w:hAnsi="Times New Roman" w:cs="Times New Roman"/>
          <w:sz w:val="28"/>
          <w:szCs w:val="28"/>
        </w:rPr>
        <w:t xml:space="preserve">, </w:t>
      </w:r>
      <w:r w:rsidR="009A6F7C" w:rsidRPr="009A6F7C">
        <w:rPr>
          <w:rFonts w:ascii="Times New Roman" w:hAnsi="Times New Roman" w:cs="Times New Roman"/>
          <w:sz w:val="28"/>
          <w:szCs w:val="28"/>
        </w:rPr>
        <w:t>24,4%</w:t>
      </w:r>
      <w:r w:rsidRPr="009A6F7C">
        <w:rPr>
          <w:rFonts w:ascii="Times New Roman" w:hAnsi="Times New Roman" w:cs="Times New Roman"/>
          <w:sz w:val="28"/>
          <w:szCs w:val="28"/>
        </w:rPr>
        <w:t>)</w:t>
      </w:r>
      <w:r w:rsidR="002836FD">
        <w:rPr>
          <w:rFonts w:ascii="Times New Roman" w:hAnsi="Times New Roman" w:cs="Times New Roman"/>
          <w:sz w:val="28"/>
          <w:szCs w:val="28"/>
        </w:rPr>
        <w:t>.</w:t>
      </w:r>
    </w:p>
    <w:p w:rsidR="009A6F7C" w:rsidRDefault="009A6F7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0C" w:rsidRDefault="004C210C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Распределение вакансий</w:t>
      </w:r>
    </w:p>
    <w:p w:rsidR="00EB6523" w:rsidRDefault="002836FD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ряда лет о</w:t>
      </w:r>
      <w:r w:rsidR="004C210C">
        <w:rPr>
          <w:rFonts w:ascii="Times New Roman" w:hAnsi="Times New Roman" w:cs="Times New Roman"/>
          <w:sz w:val="28"/>
          <w:szCs w:val="28"/>
        </w:rPr>
        <w:t>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4C210C">
        <w:rPr>
          <w:rFonts w:ascii="Times New Roman" w:hAnsi="Times New Roman" w:cs="Times New Roman"/>
          <w:sz w:val="28"/>
          <w:szCs w:val="28"/>
        </w:rPr>
        <w:t xml:space="preserve">снижение количества вакансий в организациях дополнительного образования с 78 вакансий в 2014 году до 49 ед. - на начало 2018 года. </w:t>
      </w:r>
    </w:p>
    <w:p w:rsidR="00EB12B3" w:rsidRDefault="00EB6523" w:rsidP="004C2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836FD">
        <w:rPr>
          <w:rFonts w:ascii="Times New Roman" w:hAnsi="Times New Roman" w:cs="Times New Roman"/>
          <w:sz w:val="28"/>
          <w:szCs w:val="28"/>
        </w:rPr>
        <w:t xml:space="preserve">наблюдается рост </w:t>
      </w:r>
      <w:r>
        <w:rPr>
          <w:rFonts w:ascii="Times New Roman" w:hAnsi="Times New Roman" w:cs="Times New Roman"/>
          <w:sz w:val="28"/>
          <w:szCs w:val="28"/>
        </w:rPr>
        <w:t xml:space="preserve">вакансий </w:t>
      </w:r>
      <w:r w:rsidR="00EB12B3">
        <w:rPr>
          <w:rFonts w:ascii="Times New Roman" w:hAnsi="Times New Roman" w:cs="Times New Roman"/>
          <w:sz w:val="28"/>
          <w:szCs w:val="28"/>
        </w:rPr>
        <w:t>(</w:t>
      </w:r>
      <w:r w:rsidR="00B9593E">
        <w:rPr>
          <w:rFonts w:ascii="Times New Roman" w:hAnsi="Times New Roman" w:cs="Times New Roman"/>
          <w:sz w:val="28"/>
          <w:szCs w:val="28"/>
        </w:rPr>
        <w:t xml:space="preserve">60 вакансий, </w:t>
      </w:r>
      <w:r w:rsidR="00EB12B3">
        <w:rPr>
          <w:rFonts w:ascii="Times New Roman" w:hAnsi="Times New Roman" w:cs="Times New Roman"/>
          <w:sz w:val="28"/>
          <w:szCs w:val="28"/>
        </w:rPr>
        <w:t>1,62% от общего числа сотрудников). И</w:t>
      </w:r>
      <w:r>
        <w:rPr>
          <w:rFonts w:ascii="Times New Roman" w:hAnsi="Times New Roman" w:cs="Times New Roman"/>
          <w:sz w:val="28"/>
          <w:szCs w:val="28"/>
        </w:rPr>
        <w:t>з них – 48 ваканси</w:t>
      </w:r>
      <w:r w:rsidR="00EB12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</w:t>
      </w:r>
      <w:r w:rsidR="00EB12B3">
        <w:rPr>
          <w:rFonts w:ascii="Times New Roman" w:hAnsi="Times New Roman" w:cs="Times New Roman"/>
          <w:sz w:val="28"/>
          <w:szCs w:val="28"/>
        </w:rPr>
        <w:t>.</w:t>
      </w:r>
    </w:p>
    <w:p w:rsidR="004C210C" w:rsidRDefault="004C210C" w:rsidP="004C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26860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C210C" w:rsidRDefault="004C210C" w:rsidP="004C21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EB12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отмечается</w:t>
      </w:r>
      <w:r w:rsidR="00697B23">
        <w:rPr>
          <w:rFonts w:ascii="Times New Roman" w:hAnsi="Times New Roman" w:cs="Times New Roman"/>
          <w:sz w:val="28"/>
          <w:szCs w:val="28"/>
        </w:rPr>
        <w:t>, что, как и в предыдущие годы,</w:t>
      </w:r>
      <w:r>
        <w:rPr>
          <w:rFonts w:ascii="Times New Roman" w:hAnsi="Times New Roman" w:cs="Times New Roman"/>
          <w:sz w:val="28"/>
          <w:szCs w:val="28"/>
        </w:rPr>
        <w:t xml:space="preserve"> наиболее востребованными в учреждениях дополнительного образования являются должности педаго</w:t>
      </w:r>
      <w:r w:rsidR="00EB12B3">
        <w:rPr>
          <w:rFonts w:ascii="Times New Roman" w:hAnsi="Times New Roman" w:cs="Times New Roman"/>
          <w:sz w:val="28"/>
          <w:szCs w:val="28"/>
        </w:rPr>
        <w:t xml:space="preserve">гов дополнительного образования - 73,3% </w:t>
      </w:r>
      <w:r>
        <w:rPr>
          <w:rFonts w:ascii="Times New Roman" w:hAnsi="Times New Roman" w:cs="Times New Roman"/>
          <w:sz w:val="28"/>
          <w:szCs w:val="28"/>
        </w:rPr>
        <w:t>от общего количества вакансий</w:t>
      </w:r>
      <w:r w:rsidR="00EB12B3">
        <w:rPr>
          <w:rFonts w:ascii="Times New Roman" w:hAnsi="Times New Roman" w:cs="Times New Roman"/>
          <w:sz w:val="28"/>
          <w:szCs w:val="28"/>
        </w:rPr>
        <w:t xml:space="preserve"> </w:t>
      </w:r>
      <w:r w:rsidR="00EB12B3" w:rsidRPr="00EB12B3">
        <w:rPr>
          <w:rFonts w:ascii="Times New Roman" w:hAnsi="Times New Roman" w:cs="Times New Roman"/>
          <w:sz w:val="28"/>
          <w:szCs w:val="28"/>
        </w:rPr>
        <w:t>(в 2018 году - 83,7%)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45" w:rsidRDefault="00201845" w:rsidP="00176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845" w:rsidRDefault="00201845" w:rsidP="00176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1845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324" w:rsidRDefault="00FF5324" w:rsidP="00FF53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Оценка уровня заработной платы педагогических работников</w:t>
      </w:r>
    </w:p>
    <w:p w:rsidR="00FF5324" w:rsidRDefault="00FF5324" w:rsidP="00FF5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324" w:rsidRDefault="00FF5324" w:rsidP="00FF5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фонд заработной платы педагогических работников учреждений дополнительного образования составил – 981656 тысячи руб., из них 133291 тыс. руб. - внебюджетные средства.</w:t>
      </w:r>
    </w:p>
    <w:p w:rsidR="00FF5324" w:rsidRDefault="00FF5324" w:rsidP="00FF5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AF1F2A" w:rsidRDefault="00AF1F2A" w:rsidP="00A30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05">
        <w:rPr>
          <w:rFonts w:ascii="Times New Roman" w:hAnsi="Times New Roman" w:cs="Times New Roman"/>
          <w:b/>
          <w:i/>
          <w:noProof/>
          <w:sz w:val="16"/>
          <w:szCs w:val="24"/>
        </w:rPr>
        <w:drawing>
          <wp:inline distT="0" distB="0" distL="0" distR="0">
            <wp:extent cx="9305925" cy="4667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2929" w:rsidRPr="007F25AC" w:rsidRDefault="00072929" w:rsidP="004C21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3078" w:rsidRPr="00745C91" w:rsidRDefault="000D3078" w:rsidP="004C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  <w:sectPr w:rsidR="000D3078" w:rsidRPr="00745C91" w:rsidSect="009E2B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210C" w:rsidRDefault="004C210C" w:rsidP="004C210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предложения. </w:t>
      </w:r>
    </w:p>
    <w:p w:rsidR="004C210C" w:rsidRDefault="004C210C" w:rsidP="004C210C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10C" w:rsidRDefault="004C210C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данных </w:t>
      </w:r>
      <w:r>
        <w:rPr>
          <w:rFonts w:ascii="Times New Roman" w:hAnsi="Times New Roman" w:cs="Times New Roman"/>
          <w:sz w:val="28"/>
          <w:szCs w:val="28"/>
        </w:rPr>
        <w:t>кадрово</w:t>
      </w:r>
      <w:r w:rsidR="00BF18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F18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F189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Ставропольского края, проведен по следующим показателям,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задачами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10C" w:rsidRDefault="004C210C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кадрами учреждений дополнительного образования Ставропольского края;</w:t>
      </w:r>
    </w:p>
    <w:p w:rsidR="004C210C" w:rsidRDefault="004C210C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долевое распределение по категориям, образованию работников учреждений дополнительного образования Ставропольского края;</w:t>
      </w:r>
    </w:p>
    <w:p w:rsidR="00BF1893" w:rsidRDefault="004C210C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кадрового состава в разрезе возраста, квалификационных категорий и стажа</w:t>
      </w:r>
      <w:r w:rsidR="00BF1893">
        <w:rPr>
          <w:rFonts w:ascii="Times New Roman" w:hAnsi="Times New Roman" w:cs="Times New Roman"/>
          <w:sz w:val="28"/>
          <w:szCs w:val="28"/>
        </w:rPr>
        <w:t>;</w:t>
      </w:r>
    </w:p>
    <w:p w:rsidR="004C210C" w:rsidRDefault="00BF1893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заработной платы педагогических работников дополнительного образования в Ставропольском крае</w:t>
      </w:r>
      <w:r w:rsidR="004C210C">
        <w:rPr>
          <w:rFonts w:ascii="Times New Roman" w:hAnsi="Times New Roman" w:cs="Times New Roman"/>
          <w:sz w:val="28"/>
          <w:szCs w:val="28"/>
        </w:rPr>
        <w:t>.</w:t>
      </w:r>
    </w:p>
    <w:p w:rsidR="004C210C" w:rsidRDefault="004C210C" w:rsidP="00B84A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</w:t>
      </w:r>
      <w:r w:rsidR="00BF1893">
        <w:rPr>
          <w:rFonts w:ascii="Times New Roman" w:hAnsi="Times New Roman" w:cs="Times New Roman"/>
          <w:sz w:val="28"/>
          <w:szCs w:val="28"/>
        </w:rPr>
        <w:t>атистических данных на 01.01.2020</w:t>
      </w:r>
      <w:r>
        <w:rPr>
          <w:rFonts w:ascii="Times New Roman" w:hAnsi="Times New Roman" w:cs="Times New Roman"/>
          <w:sz w:val="28"/>
          <w:szCs w:val="28"/>
        </w:rPr>
        <w:t xml:space="preserve"> г. позволяет составить портрет педагогических работников организаций дополнительного образования. Среди педагогических работников большая часть имеет высшее профессиональное образование</w:t>
      </w:r>
      <w:r w:rsidR="007D7EE1">
        <w:rPr>
          <w:rFonts w:ascii="Times New Roman" w:hAnsi="Times New Roman" w:cs="Times New Roman"/>
          <w:sz w:val="28"/>
          <w:szCs w:val="28"/>
        </w:rPr>
        <w:t xml:space="preserve"> (85,2%)</w:t>
      </w:r>
      <w:r>
        <w:rPr>
          <w:rFonts w:ascii="Times New Roman" w:hAnsi="Times New Roman" w:cs="Times New Roman"/>
          <w:sz w:val="28"/>
          <w:szCs w:val="28"/>
        </w:rPr>
        <w:t>, стаж работы свыше 20 лет</w:t>
      </w:r>
      <w:r w:rsidR="007D7EE1">
        <w:rPr>
          <w:rFonts w:ascii="Times New Roman" w:hAnsi="Times New Roman" w:cs="Times New Roman"/>
          <w:sz w:val="28"/>
          <w:szCs w:val="28"/>
        </w:rPr>
        <w:t xml:space="preserve"> (46,8%)</w:t>
      </w:r>
      <w:r>
        <w:rPr>
          <w:rFonts w:ascii="Times New Roman" w:hAnsi="Times New Roman" w:cs="Times New Roman"/>
          <w:sz w:val="28"/>
          <w:szCs w:val="28"/>
        </w:rPr>
        <w:t xml:space="preserve"> и возраст свыше 35 лет</w:t>
      </w:r>
      <w:r w:rsidR="007D7EE1">
        <w:rPr>
          <w:rFonts w:ascii="Times New Roman" w:hAnsi="Times New Roman" w:cs="Times New Roman"/>
          <w:sz w:val="28"/>
          <w:szCs w:val="28"/>
        </w:rPr>
        <w:t xml:space="preserve"> (79,13%)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0C" w:rsidRDefault="004C210C" w:rsidP="00B8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B84ADF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</w:t>
      </w:r>
      <w:r>
        <w:rPr>
          <w:rFonts w:ascii="Times New Roman" w:hAnsi="Times New Roman" w:cs="Times New Roman"/>
          <w:b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тенденции в развитии кадрового потенциала:</w:t>
      </w:r>
    </w:p>
    <w:p w:rsidR="004C210C" w:rsidRDefault="004C210C" w:rsidP="00B84ADF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</w:t>
      </w:r>
      <w:r>
        <w:rPr>
          <w:rFonts w:ascii="Times New Roman" w:hAnsi="Times New Roman"/>
          <w:sz w:val="28"/>
          <w:szCs w:val="28"/>
        </w:rPr>
        <w:t xml:space="preserve">уровня образовательного ценза работников учреждений дополнительного образования, обеспечивающих педагогический процесс. </w:t>
      </w:r>
      <w:r w:rsidR="00BF1893">
        <w:rPr>
          <w:rFonts w:ascii="Times New Roman" w:hAnsi="Times New Roman" w:cs="Times New Roman"/>
          <w:sz w:val="28"/>
          <w:szCs w:val="28"/>
        </w:rPr>
        <w:t>На 01.01.2020</w:t>
      </w:r>
      <w:r>
        <w:rPr>
          <w:rFonts w:ascii="Times New Roman" w:hAnsi="Times New Roman" w:cs="Times New Roman"/>
          <w:sz w:val="28"/>
          <w:szCs w:val="28"/>
        </w:rPr>
        <w:t xml:space="preserve"> г. высшее профессиональное образование имели – </w:t>
      </w:r>
      <w:r w:rsidR="007D7EE1" w:rsidRPr="007D7EE1">
        <w:rPr>
          <w:rFonts w:ascii="Times New Roman" w:hAnsi="Times New Roman" w:cs="Times New Roman"/>
          <w:sz w:val="28"/>
          <w:szCs w:val="28"/>
        </w:rPr>
        <w:t>85,2%</w:t>
      </w:r>
      <w:r w:rsidRPr="007D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(в 2016 году данный показатель составлял– 74,6%), из них высшее педагогическое образование</w:t>
      </w:r>
      <w:r w:rsidR="007D7EE1">
        <w:rPr>
          <w:rFonts w:ascii="Times New Roman" w:hAnsi="Times New Roman" w:cs="Times New Roman"/>
          <w:sz w:val="28"/>
          <w:szCs w:val="28"/>
        </w:rPr>
        <w:t xml:space="preserve"> имеют 75% руководителей и 87,6%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0C" w:rsidRDefault="004C210C" w:rsidP="00B84ADF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</w:t>
      </w:r>
      <w:r w:rsidR="00586922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имеющих только среднее полное образование </w:t>
      </w:r>
      <w:r w:rsidRPr="00586922">
        <w:rPr>
          <w:rFonts w:ascii="Times New Roman" w:hAnsi="Times New Roman" w:cs="Times New Roman"/>
          <w:sz w:val="28"/>
          <w:szCs w:val="28"/>
        </w:rPr>
        <w:t xml:space="preserve">с </w:t>
      </w:r>
      <w:r w:rsidR="00586922" w:rsidRPr="00586922">
        <w:rPr>
          <w:rFonts w:ascii="Times New Roman" w:hAnsi="Times New Roman" w:cs="Times New Roman"/>
          <w:sz w:val="28"/>
          <w:szCs w:val="28"/>
        </w:rPr>
        <w:t>28 чел</w:t>
      </w:r>
      <w:r w:rsidR="00FB1245">
        <w:rPr>
          <w:rFonts w:ascii="Times New Roman" w:hAnsi="Times New Roman" w:cs="Times New Roman"/>
          <w:sz w:val="28"/>
          <w:szCs w:val="28"/>
        </w:rPr>
        <w:t>овек</w:t>
      </w:r>
      <w:r w:rsidR="00586922" w:rsidRPr="00586922">
        <w:rPr>
          <w:rFonts w:ascii="Times New Roman" w:hAnsi="Times New Roman" w:cs="Times New Roman"/>
          <w:sz w:val="28"/>
          <w:szCs w:val="28"/>
        </w:rPr>
        <w:t xml:space="preserve"> до 18 чел</w:t>
      </w:r>
      <w:r w:rsidR="00FB1245">
        <w:rPr>
          <w:rFonts w:ascii="Times New Roman" w:hAnsi="Times New Roman" w:cs="Times New Roman"/>
          <w:sz w:val="28"/>
          <w:szCs w:val="28"/>
        </w:rPr>
        <w:t>овек</w:t>
      </w:r>
      <w:r w:rsidR="00586922" w:rsidRPr="00586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0C" w:rsidRPr="00586922" w:rsidRDefault="004C210C" w:rsidP="00B84ADF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6922">
        <w:rPr>
          <w:rFonts w:ascii="Times New Roman" w:hAnsi="Times New Roman" w:cs="Times New Roman"/>
          <w:sz w:val="28"/>
          <w:szCs w:val="28"/>
        </w:rPr>
        <w:t>- Каждый второй (</w:t>
      </w:r>
      <w:r w:rsidR="0016190A">
        <w:rPr>
          <w:rFonts w:ascii="Times New Roman" w:hAnsi="Times New Roman" w:cs="Times New Roman"/>
          <w:sz w:val="28"/>
          <w:szCs w:val="28"/>
        </w:rPr>
        <w:t>49,5</w:t>
      </w:r>
      <w:r w:rsidRPr="00586922">
        <w:rPr>
          <w:rFonts w:ascii="Times New Roman" w:hAnsi="Times New Roman" w:cs="Times New Roman"/>
          <w:sz w:val="28"/>
          <w:szCs w:val="28"/>
        </w:rPr>
        <w:t xml:space="preserve">%) руководящий и педагогический работник учреждений дополнительного образования в возрасте от 35 лет до пенсионного возраста. </w:t>
      </w:r>
    </w:p>
    <w:p w:rsidR="004C210C" w:rsidRPr="00367F58" w:rsidRDefault="004C210C" w:rsidP="00B84ADF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922">
        <w:rPr>
          <w:rFonts w:ascii="Times New Roman" w:hAnsi="Times New Roman" w:cs="Times New Roman"/>
          <w:sz w:val="28"/>
          <w:szCs w:val="28"/>
        </w:rPr>
        <w:t xml:space="preserve">Наряду с этим следует отметить </w:t>
      </w:r>
      <w:r w:rsidRPr="00367F58">
        <w:rPr>
          <w:rFonts w:ascii="Times New Roman" w:hAnsi="Times New Roman" w:cs="Times New Roman"/>
          <w:b/>
          <w:sz w:val="28"/>
          <w:szCs w:val="28"/>
        </w:rPr>
        <w:t xml:space="preserve">ряд признаков складывающихся рисков. </w:t>
      </w:r>
    </w:p>
    <w:p w:rsidR="003D3C1C" w:rsidRDefault="004C210C" w:rsidP="00586922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6922">
        <w:rPr>
          <w:rFonts w:ascii="Times New Roman" w:hAnsi="Times New Roman" w:cs="Times New Roman"/>
          <w:sz w:val="28"/>
          <w:szCs w:val="28"/>
        </w:rPr>
        <w:t xml:space="preserve">- </w:t>
      </w:r>
      <w:r w:rsidR="00BA5E7A" w:rsidRPr="00586922">
        <w:rPr>
          <w:rFonts w:ascii="Times New Roman" w:hAnsi="Times New Roman" w:cs="Times New Roman"/>
          <w:sz w:val="28"/>
          <w:szCs w:val="28"/>
        </w:rPr>
        <w:t>Н</w:t>
      </w:r>
      <w:r w:rsidRPr="00586922">
        <w:rPr>
          <w:rFonts w:ascii="Times New Roman" w:hAnsi="Times New Roman" w:cs="Times New Roman"/>
          <w:sz w:val="28"/>
          <w:szCs w:val="28"/>
        </w:rPr>
        <w:t>аблюдается</w:t>
      </w:r>
      <w:r w:rsidR="003D3C1C">
        <w:rPr>
          <w:rFonts w:ascii="Times New Roman" w:hAnsi="Times New Roman" w:cs="Times New Roman"/>
          <w:sz w:val="28"/>
          <w:szCs w:val="28"/>
        </w:rPr>
        <w:t xml:space="preserve"> тенденция</w:t>
      </w:r>
      <w:r w:rsidR="00993FE4">
        <w:rPr>
          <w:rFonts w:ascii="Times New Roman" w:hAnsi="Times New Roman" w:cs="Times New Roman"/>
          <w:sz w:val="28"/>
          <w:szCs w:val="28"/>
        </w:rPr>
        <w:t>,</w:t>
      </w:r>
      <w:r w:rsidR="003D3C1C">
        <w:rPr>
          <w:rFonts w:ascii="Times New Roman" w:hAnsi="Times New Roman" w:cs="Times New Roman"/>
          <w:sz w:val="28"/>
          <w:szCs w:val="28"/>
        </w:rPr>
        <w:t xml:space="preserve"> </w:t>
      </w:r>
      <w:r w:rsidR="00993FE4">
        <w:rPr>
          <w:rFonts w:ascii="Times New Roman" w:hAnsi="Times New Roman" w:cs="Times New Roman"/>
          <w:sz w:val="28"/>
          <w:szCs w:val="28"/>
        </w:rPr>
        <w:t xml:space="preserve">начиная с 2017 года, </w:t>
      </w:r>
      <w:r w:rsidR="003D3C1C"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="00380165" w:rsidRPr="00586922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</w:t>
      </w:r>
      <w:r w:rsidRPr="00586922">
        <w:rPr>
          <w:rFonts w:ascii="Times New Roman" w:hAnsi="Times New Roman" w:cs="Times New Roman"/>
          <w:sz w:val="28"/>
          <w:szCs w:val="28"/>
        </w:rPr>
        <w:t>категори</w:t>
      </w:r>
      <w:r w:rsidR="00380165" w:rsidRPr="00586922">
        <w:rPr>
          <w:rFonts w:ascii="Times New Roman" w:hAnsi="Times New Roman" w:cs="Times New Roman"/>
          <w:sz w:val="28"/>
          <w:szCs w:val="28"/>
        </w:rPr>
        <w:t>ю</w:t>
      </w:r>
      <w:r w:rsidR="003D3C1C">
        <w:rPr>
          <w:rFonts w:ascii="Times New Roman" w:hAnsi="Times New Roman" w:cs="Times New Roman"/>
          <w:sz w:val="28"/>
          <w:szCs w:val="28"/>
        </w:rPr>
        <w:t xml:space="preserve">. </w:t>
      </w:r>
      <w:r w:rsidR="0089235A">
        <w:rPr>
          <w:rFonts w:ascii="Times New Roman" w:hAnsi="Times New Roman" w:cs="Times New Roman"/>
          <w:sz w:val="28"/>
          <w:szCs w:val="28"/>
        </w:rPr>
        <w:t>Так е</w:t>
      </w:r>
      <w:r w:rsidR="003D3C1C">
        <w:rPr>
          <w:rFonts w:ascii="Times New Roman" w:hAnsi="Times New Roman" w:cs="Times New Roman"/>
          <w:sz w:val="28"/>
          <w:szCs w:val="28"/>
        </w:rPr>
        <w:t xml:space="preserve">сли в 2017 году высшую категорию имел </w:t>
      </w:r>
      <w:r w:rsidRPr="00586922">
        <w:rPr>
          <w:rFonts w:ascii="Times New Roman" w:hAnsi="Times New Roman" w:cs="Times New Roman"/>
          <w:sz w:val="28"/>
          <w:szCs w:val="28"/>
        </w:rPr>
        <w:t xml:space="preserve">каждый третий педагогический работник </w:t>
      </w:r>
      <w:r w:rsidR="003D3C1C">
        <w:rPr>
          <w:rFonts w:ascii="Times New Roman" w:hAnsi="Times New Roman" w:cs="Times New Roman"/>
          <w:sz w:val="28"/>
          <w:szCs w:val="28"/>
        </w:rPr>
        <w:t xml:space="preserve">(31,1%), то на 01.01.2020 – каждый пятый (18,7%). Доля педагогических работников, имеющих первую категорию с 2017 года снизилась с 14,7% до 9,3%. </w:t>
      </w:r>
    </w:p>
    <w:p w:rsidR="00AF1F2A" w:rsidRPr="00D67E14" w:rsidRDefault="004C210C" w:rsidP="00AF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22">
        <w:rPr>
          <w:rFonts w:ascii="Times New Roman" w:hAnsi="Times New Roman" w:cs="Times New Roman"/>
          <w:sz w:val="28"/>
          <w:szCs w:val="28"/>
        </w:rPr>
        <w:t xml:space="preserve">- </w:t>
      </w:r>
      <w:r w:rsidR="00BA5E7A" w:rsidRPr="00586922">
        <w:rPr>
          <w:rFonts w:ascii="Times New Roman" w:hAnsi="Times New Roman" w:cs="Times New Roman"/>
          <w:sz w:val="28"/>
          <w:szCs w:val="28"/>
        </w:rPr>
        <w:t>И</w:t>
      </w:r>
      <w:r w:rsidRPr="00586922">
        <w:rPr>
          <w:rFonts w:ascii="Times New Roman" w:hAnsi="Times New Roman" w:cs="Times New Roman"/>
          <w:sz w:val="28"/>
          <w:szCs w:val="28"/>
        </w:rPr>
        <w:t xml:space="preserve">зменяется качественный состав педагогических коллективов за счет роста числа </w:t>
      </w:r>
      <w:r w:rsidR="00AF1F2A" w:rsidRPr="00D67E14">
        <w:rPr>
          <w:rFonts w:ascii="Times New Roman" w:hAnsi="Times New Roman" w:cs="Times New Roman"/>
          <w:sz w:val="28"/>
          <w:szCs w:val="28"/>
        </w:rPr>
        <w:t>учебно-вспомогательный персонал</w:t>
      </w:r>
      <w:r w:rsidR="00AF1F2A">
        <w:rPr>
          <w:rFonts w:ascii="Times New Roman" w:hAnsi="Times New Roman" w:cs="Times New Roman"/>
          <w:sz w:val="28"/>
          <w:szCs w:val="28"/>
        </w:rPr>
        <w:t>а</w:t>
      </w:r>
      <w:r w:rsidR="00993FE4">
        <w:rPr>
          <w:rFonts w:ascii="Times New Roman" w:hAnsi="Times New Roman" w:cs="Times New Roman"/>
          <w:sz w:val="28"/>
          <w:szCs w:val="28"/>
        </w:rPr>
        <w:t>. Ч</w:t>
      </w:r>
      <w:r w:rsidR="00AF1F2A" w:rsidRPr="00D67E14">
        <w:rPr>
          <w:rFonts w:ascii="Times New Roman" w:hAnsi="Times New Roman" w:cs="Times New Roman"/>
          <w:sz w:val="28"/>
          <w:szCs w:val="28"/>
        </w:rPr>
        <w:t>исленность сотрудников ОДО за три последние года возросла на 9 %, при этом численность педагогических работников изменилась на 6</w:t>
      </w:r>
      <w:r w:rsidR="00AF1F2A">
        <w:rPr>
          <w:rFonts w:ascii="Times New Roman" w:hAnsi="Times New Roman" w:cs="Times New Roman"/>
          <w:sz w:val="28"/>
          <w:szCs w:val="28"/>
        </w:rPr>
        <w:t>,</w:t>
      </w:r>
      <w:r w:rsidR="00AF1F2A" w:rsidRPr="00D67E14">
        <w:rPr>
          <w:rFonts w:ascii="Times New Roman" w:hAnsi="Times New Roman" w:cs="Times New Roman"/>
          <w:sz w:val="28"/>
          <w:szCs w:val="28"/>
        </w:rPr>
        <w:t>1%, учебно-вспомогательный персонал – на 29,9%.</w:t>
      </w:r>
    </w:p>
    <w:p w:rsidR="00AF1F2A" w:rsidRPr="00201845" w:rsidRDefault="00201845" w:rsidP="00201845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Разброс </w:t>
      </w:r>
      <w:r w:rsidR="000F4ACA">
        <w:rPr>
          <w:rFonts w:ascii="Times New Roman" w:hAnsi="Times New Roman" w:cs="Times New Roman"/>
          <w:sz w:val="28"/>
          <w:szCs w:val="28"/>
        </w:rPr>
        <w:t xml:space="preserve">заработной платы педагогических работников ОДО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018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,3 тыс. </w:t>
      </w:r>
      <w:r w:rsidRPr="00201845">
        <w:rPr>
          <w:rFonts w:ascii="Times New Roman" w:hAnsi="Times New Roman" w:cs="Times New Roman"/>
          <w:sz w:val="28"/>
          <w:szCs w:val="28"/>
        </w:rPr>
        <w:t>руб</w:t>
      </w:r>
      <w:r w:rsidR="00DC7620">
        <w:rPr>
          <w:rFonts w:ascii="Times New Roman" w:hAnsi="Times New Roman" w:cs="Times New Roman"/>
          <w:sz w:val="28"/>
          <w:szCs w:val="28"/>
        </w:rPr>
        <w:t>. до 2</w:t>
      </w:r>
      <w:r w:rsidRPr="00201845">
        <w:rPr>
          <w:rFonts w:ascii="Times New Roman" w:hAnsi="Times New Roman" w:cs="Times New Roman"/>
          <w:sz w:val="28"/>
          <w:szCs w:val="28"/>
        </w:rPr>
        <w:t>3</w:t>
      </w:r>
      <w:r w:rsidR="00DC7620">
        <w:rPr>
          <w:rFonts w:ascii="Times New Roman" w:hAnsi="Times New Roman" w:cs="Times New Roman"/>
          <w:sz w:val="28"/>
          <w:szCs w:val="28"/>
        </w:rPr>
        <w:t>,</w:t>
      </w:r>
      <w:r w:rsidRPr="00201845">
        <w:rPr>
          <w:rFonts w:ascii="Times New Roman" w:hAnsi="Times New Roman" w:cs="Times New Roman"/>
          <w:sz w:val="28"/>
          <w:szCs w:val="28"/>
        </w:rPr>
        <w:t>7</w:t>
      </w:r>
      <w:r w:rsidR="00DC7620">
        <w:rPr>
          <w:rFonts w:ascii="Times New Roman" w:hAnsi="Times New Roman" w:cs="Times New Roman"/>
          <w:sz w:val="28"/>
          <w:szCs w:val="28"/>
        </w:rPr>
        <w:t xml:space="preserve"> тыс. составляет свыше 5,5 тыс. рублей. При этом следует отметить</w:t>
      </w:r>
      <w:r w:rsidR="000F4A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762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0F4ACA">
        <w:rPr>
          <w:rFonts w:ascii="Times New Roman" w:hAnsi="Times New Roman" w:cs="Times New Roman"/>
          <w:sz w:val="28"/>
          <w:szCs w:val="28"/>
        </w:rPr>
        <w:t xml:space="preserve">не просматривается </w:t>
      </w:r>
      <w:r w:rsidR="00DC7620">
        <w:rPr>
          <w:rFonts w:ascii="Times New Roman" w:hAnsi="Times New Roman" w:cs="Times New Roman"/>
          <w:sz w:val="28"/>
          <w:szCs w:val="28"/>
        </w:rPr>
        <w:t>связ</w:t>
      </w:r>
      <w:r w:rsidR="000F4ACA">
        <w:rPr>
          <w:rFonts w:ascii="Times New Roman" w:hAnsi="Times New Roman" w:cs="Times New Roman"/>
          <w:sz w:val="28"/>
          <w:szCs w:val="28"/>
        </w:rPr>
        <w:t>ь</w:t>
      </w:r>
      <w:r w:rsidR="00DC7620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0F4ACA">
        <w:rPr>
          <w:rFonts w:ascii="Times New Roman" w:hAnsi="Times New Roman" w:cs="Times New Roman"/>
          <w:sz w:val="28"/>
          <w:szCs w:val="28"/>
        </w:rPr>
        <w:t>ы</w:t>
      </w:r>
      <w:r w:rsidR="00DC7620">
        <w:rPr>
          <w:rFonts w:ascii="Times New Roman" w:hAnsi="Times New Roman" w:cs="Times New Roman"/>
          <w:sz w:val="28"/>
          <w:szCs w:val="28"/>
        </w:rPr>
        <w:t xml:space="preserve"> заработной платы педагогических работников </w:t>
      </w:r>
      <w:r w:rsidR="000F4ACA">
        <w:rPr>
          <w:rFonts w:ascii="Times New Roman" w:hAnsi="Times New Roman" w:cs="Times New Roman"/>
          <w:sz w:val="28"/>
          <w:szCs w:val="28"/>
        </w:rPr>
        <w:t xml:space="preserve">с квалификационной категорией, а также с объемом оказания платных </w:t>
      </w:r>
      <w:r w:rsidR="00993FE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F4ACA">
        <w:rPr>
          <w:rFonts w:ascii="Times New Roman" w:hAnsi="Times New Roman" w:cs="Times New Roman"/>
          <w:sz w:val="28"/>
          <w:szCs w:val="28"/>
        </w:rPr>
        <w:t>услуг.</w:t>
      </w:r>
    </w:p>
    <w:p w:rsidR="000F4ACA" w:rsidRDefault="000F4ACA" w:rsidP="00586922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C210C" w:rsidRDefault="004C210C" w:rsidP="00586922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692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0F4ACA">
        <w:rPr>
          <w:rFonts w:ascii="Times New Roman" w:hAnsi="Times New Roman" w:cs="Times New Roman"/>
          <w:sz w:val="28"/>
          <w:szCs w:val="28"/>
        </w:rPr>
        <w:t xml:space="preserve">органов управления муниципальных районов и городских округов, руководителям </w:t>
      </w:r>
      <w:r w:rsidR="00E80A4A">
        <w:rPr>
          <w:rFonts w:ascii="Times New Roman" w:hAnsi="Times New Roman" w:cs="Times New Roman"/>
          <w:sz w:val="28"/>
          <w:szCs w:val="28"/>
        </w:rPr>
        <w:t>ОДО</w:t>
      </w:r>
      <w:r w:rsidRPr="005869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B99" w:rsidRDefault="00D32B99" w:rsidP="00586922">
      <w:pPr>
        <w:tabs>
          <w:tab w:val="left" w:pos="3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32B99" w:rsidRDefault="001759F1" w:rsidP="004517C4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0A4A" w:rsidRPr="004517C4">
        <w:rPr>
          <w:rFonts w:ascii="Times New Roman" w:hAnsi="Times New Roman" w:cs="Times New Roman"/>
          <w:sz w:val="28"/>
          <w:szCs w:val="28"/>
        </w:rPr>
        <w:t>корректировать</w:t>
      </w:r>
      <w:r w:rsidRPr="0017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4517C4">
        <w:rPr>
          <w:rFonts w:ascii="Times New Roman" w:hAnsi="Times New Roman" w:cs="Times New Roman"/>
          <w:sz w:val="28"/>
          <w:szCs w:val="28"/>
        </w:rPr>
        <w:t>азработать</w:t>
      </w:r>
      <w:r w:rsidR="00E80A4A" w:rsidRPr="004517C4">
        <w:rPr>
          <w:rFonts w:ascii="Times New Roman" w:hAnsi="Times New Roman" w:cs="Times New Roman"/>
          <w:sz w:val="28"/>
          <w:szCs w:val="28"/>
        </w:rPr>
        <w:t xml:space="preserve">) </w:t>
      </w:r>
      <w:r w:rsidR="004C210C" w:rsidRPr="004517C4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r w:rsidR="008315DA">
        <w:rPr>
          <w:rFonts w:ascii="Times New Roman" w:hAnsi="Times New Roman" w:cs="Times New Roman"/>
          <w:sz w:val="28"/>
          <w:szCs w:val="28"/>
        </w:rPr>
        <w:t xml:space="preserve">(муниципального, институционального уровней) </w:t>
      </w:r>
      <w:r w:rsidR="00E80A4A" w:rsidRPr="004517C4">
        <w:rPr>
          <w:rFonts w:ascii="Times New Roman" w:hAnsi="Times New Roman" w:cs="Times New Roman"/>
          <w:sz w:val="28"/>
          <w:szCs w:val="28"/>
        </w:rPr>
        <w:t>реализации профессионального стандарта педагог</w:t>
      </w:r>
      <w:r w:rsidR="004517C4" w:rsidRPr="004517C4">
        <w:rPr>
          <w:rFonts w:ascii="Times New Roman" w:hAnsi="Times New Roman" w:cs="Times New Roman"/>
          <w:sz w:val="28"/>
          <w:szCs w:val="28"/>
        </w:rPr>
        <w:t xml:space="preserve">ического работника </w:t>
      </w:r>
      <w:r w:rsidR="00E80A4A" w:rsidRPr="004517C4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</w:t>
      </w:r>
      <w:r w:rsidR="004517C4">
        <w:rPr>
          <w:rFonts w:ascii="Times New Roman" w:hAnsi="Times New Roman" w:cs="Times New Roman"/>
          <w:sz w:val="28"/>
          <w:szCs w:val="28"/>
        </w:rPr>
        <w:t xml:space="preserve">с учетом профессиональных стандартов </w:t>
      </w:r>
      <w:r w:rsidR="004517C4" w:rsidRPr="004517C4">
        <w:rPr>
          <w:rFonts w:ascii="Times New Roman" w:hAnsi="Times New Roman" w:cs="Times New Roman"/>
          <w:sz w:val="28"/>
          <w:szCs w:val="28"/>
        </w:rPr>
        <w:t>(</w:t>
      </w:r>
      <w:r w:rsidR="004517C4" w:rsidRPr="00D32B99">
        <w:rPr>
          <w:rFonts w:ascii="Times New Roman" w:hAnsi="Times New Roman" w:cs="Times New Roman"/>
          <w:b/>
          <w:sz w:val="28"/>
          <w:szCs w:val="28"/>
        </w:rPr>
        <w:t>п</w:t>
      </w:r>
      <w:r w:rsidR="00E80A4A" w:rsidRPr="00D32B99">
        <w:rPr>
          <w:rFonts w:ascii="Times New Roman" w:hAnsi="Times New Roman" w:cs="Times New Roman"/>
          <w:b/>
          <w:sz w:val="28"/>
          <w:szCs w:val="28"/>
        </w:rPr>
        <w:t>риказ</w:t>
      </w:r>
      <w:r w:rsidR="00E80A4A" w:rsidRPr="004517C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E80A4A" w:rsidRPr="004517C4">
        <w:rPr>
          <w:rFonts w:ascii="Times New Roman" w:hAnsi="Times New Roman" w:cs="Times New Roman"/>
          <w:sz w:val="28"/>
          <w:szCs w:val="28"/>
        </w:rPr>
        <w:t xml:space="preserve">от 5 мая 2018 г. № 298н «Об утверждении профессионального стандарта </w:t>
      </w:r>
      <w:r w:rsidR="004517C4" w:rsidRPr="004517C4">
        <w:rPr>
          <w:rFonts w:ascii="Times New Roman" w:hAnsi="Times New Roman" w:cs="Times New Roman"/>
          <w:sz w:val="28"/>
          <w:szCs w:val="28"/>
        </w:rPr>
        <w:t>«</w:t>
      </w:r>
      <w:r w:rsidR="00E80A4A" w:rsidRPr="004517C4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4517C4">
        <w:rPr>
          <w:rFonts w:ascii="Times New Roman" w:hAnsi="Times New Roman" w:cs="Times New Roman"/>
          <w:sz w:val="28"/>
          <w:szCs w:val="28"/>
        </w:rPr>
        <w:t xml:space="preserve"> образования детей и взрослых»</w:t>
      </w:r>
      <w:r w:rsidR="004517C4" w:rsidRPr="004517C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="004517C4" w:rsidRPr="00D32B99">
        <w:rPr>
          <w:rFonts w:ascii="Times New Roman" w:hAnsi="Times New Roman" w:cs="Times New Roman"/>
          <w:b/>
          <w:sz w:val="28"/>
          <w:szCs w:val="28"/>
        </w:rPr>
        <w:t>п</w:t>
      </w:r>
      <w:r w:rsidR="00E80A4A" w:rsidRPr="00D32B99">
        <w:rPr>
          <w:rFonts w:ascii="Times New Roman" w:hAnsi="Times New Roman" w:cs="Times New Roman"/>
          <w:b/>
          <w:sz w:val="28"/>
          <w:szCs w:val="28"/>
        </w:rPr>
        <w:t>риказ</w:t>
      </w:r>
      <w:r w:rsidR="00E80A4A" w:rsidRPr="004517C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24.07.2015 № 514н «Об утверждении профессионального стандарта </w:t>
      </w:r>
      <w:r w:rsidR="00D32B99">
        <w:rPr>
          <w:rFonts w:ascii="Times New Roman" w:hAnsi="Times New Roman" w:cs="Times New Roman"/>
          <w:sz w:val="28"/>
          <w:szCs w:val="28"/>
        </w:rPr>
        <w:t>«</w:t>
      </w:r>
      <w:r w:rsidR="00E80A4A" w:rsidRPr="004517C4">
        <w:rPr>
          <w:rFonts w:ascii="Times New Roman" w:hAnsi="Times New Roman" w:cs="Times New Roman"/>
          <w:sz w:val="28"/>
          <w:szCs w:val="28"/>
        </w:rPr>
        <w:t>Педагог-психолог (психолог в сфере образования)»</w:t>
      </w:r>
      <w:r w:rsidR="004517C4" w:rsidRPr="004517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7C4" w:rsidRPr="00D32B99" w:rsidRDefault="004517C4" w:rsidP="00D32B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99">
        <w:rPr>
          <w:rFonts w:ascii="Times New Roman" w:hAnsi="Times New Roman" w:cs="Times New Roman"/>
          <w:b/>
          <w:sz w:val="28"/>
          <w:szCs w:val="28"/>
        </w:rPr>
        <w:t>п</w:t>
      </w:r>
      <w:r w:rsidR="00E80A4A" w:rsidRPr="00D32B99">
        <w:rPr>
          <w:rFonts w:ascii="Times New Roman" w:hAnsi="Times New Roman" w:cs="Times New Roman"/>
          <w:b/>
          <w:sz w:val="28"/>
          <w:szCs w:val="28"/>
        </w:rPr>
        <w:t xml:space="preserve">риказ </w:t>
      </w:r>
      <w:r w:rsidR="00E80A4A" w:rsidRPr="00D32B9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10 января 2017 г. № 10н «Об утверждении профессионального стандарта </w:t>
      </w:r>
      <w:r w:rsidRPr="00D32B99">
        <w:rPr>
          <w:rFonts w:ascii="Times New Roman" w:hAnsi="Times New Roman" w:cs="Times New Roman"/>
          <w:sz w:val="28"/>
          <w:szCs w:val="28"/>
        </w:rPr>
        <w:t>«</w:t>
      </w:r>
      <w:r w:rsidR="00E80A4A" w:rsidRPr="00D32B99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 w:rsidRPr="00D32B99">
        <w:rPr>
          <w:rFonts w:ascii="Times New Roman" w:hAnsi="Times New Roman" w:cs="Times New Roman"/>
          <w:sz w:val="28"/>
          <w:szCs w:val="28"/>
        </w:rPr>
        <w:t>»</w:t>
      </w:r>
      <w:r w:rsidR="00D32B99">
        <w:rPr>
          <w:rFonts w:ascii="Times New Roman" w:hAnsi="Times New Roman" w:cs="Times New Roman"/>
          <w:sz w:val="28"/>
          <w:szCs w:val="28"/>
        </w:rPr>
        <w:t>)</w:t>
      </w:r>
      <w:r w:rsidRPr="00D32B99">
        <w:rPr>
          <w:rFonts w:ascii="Times New Roman" w:hAnsi="Times New Roman" w:cs="Times New Roman"/>
          <w:sz w:val="28"/>
          <w:szCs w:val="28"/>
        </w:rPr>
        <w:t>.</w:t>
      </w:r>
    </w:p>
    <w:p w:rsidR="00D32B99" w:rsidRDefault="00D32B99" w:rsidP="00D32B99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FE4" w:rsidRDefault="002653F3" w:rsidP="004517C4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FF5324">
        <w:rPr>
          <w:rFonts w:ascii="Times New Roman" w:hAnsi="Times New Roman" w:cs="Times New Roman"/>
          <w:b/>
          <w:sz w:val="28"/>
          <w:szCs w:val="28"/>
        </w:rPr>
        <w:t>систему условий</w:t>
      </w:r>
      <w:r>
        <w:rPr>
          <w:rFonts w:ascii="Times New Roman" w:hAnsi="Times New Roman" w:cs="Times New Roman"/>
          <w:sz w:val="28"/>
          <w:szCs w:val="28"/>
        </w:rPr>
        <w:t>, мотивирующих непрерывное профессиональное развитие и повышение квалификации педагогических и руководящих работников учреждений дополнительного образования.</w:t>
      </w:r>
    </w:p>
    <w:p w:rsidR="002653F3" w:rsidRPr="004517C4" w:rsidRDefault="002653F3" w:rsidP="00D32B99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3F3" w:rsidRPr="0045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31" w:rsidRDefault="00B87331" w:rsidP="00BF7A37">
      <w:pPr>
        <w:spacing w:after="0" w:line="240" w:lineRule="auto"/>
      </w:pPr>
      <w:r>
        <w:separator/>
      </w:r>
    </w:p>
  </w:endnote>
  <w:endnote w:type="continuationSeparator" w:id="0">
    <w:p w:rsidR="00B87331" w:rsidRDefault="00B87331" w:rsidP="00B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B9" w:rsidRDefault="00613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31" w:rsidRDefault="00B87331" w:rsidP="00BF7A37">
      <w:pPr>
        <w:spacing w:after="0" w:line="240" w:lineRule="auto"/>
      </w:pPr>
      <w:r>
        <w:separator/>
      </w:r>
    </w:p>
  </w:footnote>
  <w:footnote w:type="continuationSeparator" w:id="0">
    <w:p w:rsidR="00B87331" w:rsidRDefault="00B87331" w:rsidP="00BF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B9" w:rsidRDefault="006136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FE0"/>
    <w:multiLevelType w:val="hybridMultilevel"/>
    <w:tmpl w:val="CA5CAD40"/>
    <w:lvl w:ilvl="0" w:tplc="93EE89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C034E"/>
    <w:multiLevelType w:val="hybridMultilevel"/>
    <w:tmpl w:val="19703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3"/>
    <w:rsid w:val="00034928"/>
    <w:rsid w:val="00050092"/>
    <w:rsid w:val="00072929"/>
    <w:rsid w:val="000B2B76"/>
    <w:rsid w:val="000D04CB"/>
    <w:rsid w:val="000D3078"/>
    <w:rsid w:val="000E1A47"/>
    <w:rsid w:val="000F4ACA"/>
    <w:rsid w:val="000F4F6E"/>
    <w:rsid w:val="00112138"/>
    <w:rsid w:val="00131411"/>
    <w:rsid w:val="0016190A"/>
    <w:rsid w:val="001759F1"/>
    <w:rsid w:val="00176772"/>
    <w:rsid w:val="001A4B8E"/>
    <w:rsid w:val="001C6629"/>
    <w:rsid w:val="001F454B"/>
    <w:rsid w:val="00201845"/>
    <w:rsid w:val="00257DFB"/>
    <w:rsid w:val="002653F3"/>
    <w:rsid w:val="002836FD"/>
    <w:rsid w:val="002F6E4A"/>
    <w:rsid w:val="00300CE7"/>
    <w:rsid w:val="00303AA3"/>
    <w:rsid w:val="00312C9D"/>
    <w:rsid w:val="0032124C"/>
    <w:rsid w:val="003233F5"/>
    <w:rsid w:val="00354F54"/>
    <w:rsid w:val="0036174D"/>
    <w:rsid w:val="00367F58"/>
    <w:rsid w:val="00380165"/>
    <w:rsid w:val="003A6BE0"/>
    <w:rsid w:val="003B113F"/>
    <w:rsid w:val="003D3C1C"/>
    <w:rsid w:val="003F4546"/>
    <w:rsid w:val="0040227D"/>
    <w:rsid w:val="00405185"/>
    <w:rsid w:val="004160AD"/>
    <w:rsid w:val="004517C4"/>
    <w:rsid w:val="00464AF6"/>
    <w:rsid w:val="004C210C"/>
    <w:rsid w:val="004C5586"/>
    <w:rsid w:val="004C56D3"/>
    <w:rsid w:val="0055338F"/>
    <w:rsid w:val="00584E2F"/>
    <w:rsid w:val="00586922"/>
    <w:rsid w:val="005A20AC"/>
    <w:rsid w:val="005D0805"/>
    <w:rsid w:val="005D6A3A"/>
    <w:rsid w:val="006006B9"/>
    <w:rsid w:val="006136B9"/>
    <w:rsid w:val="006239F9"/>
    <w:rsid w:val="00632A52"/>
    <w:rsid w:val="00634C95"/>
    <w:rsid w:val="00642341"/>
    <w:rsid w:val="006463E6"/>
    <w:rsid w:val="00697B23"/>
    <w:rsid w:val="00711A12"/>
    <w:rsid w:val="00725661"/>
    <w:rsid w:val="00745C91"/>
    <w:rsid w:val="00797D80"/>
    <w:rsid w:val="007A12C0"/>
    <w:rsid w:val="007A2DF6"/>
    <w:rsid w:val="007D114F"/>
    <w:rsid w:val="007D7343"/>
    <w:rsid w:val="007D7EE1"/>
    <w:rsid w:val="007F25AC"/>
    <w:rsid w:val="008315DA"/>
    <w:rsid w:val="00831B3C"/>
    <w:rsid w:val="0083604A"/>
    <w:rsid w:val="00842B9B"/>
    <w:rsid w:val="00853490"/>
    <w:rsid w:val="0089235A"/>
    <w:rsid w:val="008958BB"/>
    <w:rsid w:val="008A1B34"/>
    <w:rsid w:val="008B3B40"/>
    <w:rsid w:val="008B76AF"/>
    <w:rsid w:val="00937A3C"/>
    <w:rsid w:val="00983240"/>
    <w:rsid w:val="00991308"/>
    <w:rsid w:val="00993FE4"/>
    <w:rsid w:val="009A6F7C"/>
    <w:rsid w:val="009E2B8B"/>
    <w:rsid w:val="009E5FBD"/>
    <w:rsid w:val="009E7931"/>
    <w:rsid w:val="009F7F4D"/>
    <w:rsid w:val="00A3052F"/>
    <w:rsid w:val="00A475B3"/>
    <w:rsid w:val="00A6452A"/>
    <w:rsid w:val="00AF1F2A"/>
    <w:rsid w:val="00B2279A"/>
    <w:rsid w:val="00B44DD9"/>
    <w:rsid w:val="00B502C0"/>
    <w:rsid w:val="00B670B9"/>
    <w:rsid w:val="00B84ADF"/>
    <w:rsid w:val="00B87331"/>
    <w:rsid w:val="00B9593E"/>
    <w:rsid w:val="00BA5E7A"/>
    <w:rsid w:val="00BB1C9C"/>
    <w:rsid w:val="00BC2D45"/>
    <w:rsid w:val="00BF1893"/>
    <w:rsid w:val="00BF7A37"/>
    <w:rsid w:val="00C404CC"/>
    <w:rsid w:val="00C962E7"/>
    <w:rsid w:val="00CB0AC1"/>
    <w:rsid w:val="00CD01F7"/>
    <w:rsid w:val="00CD1023"/>
    <w:rsid w:val="00CD1931"/>
    <w:rsid w:val="00D14DD8"/>
    <w:rsid w:val="00D32B99"/>
    <w:rsid w:val="00D359F5"/>
    <w:rsid w:val="00D52BAD"/>
    <w:rsid w:val="00D57CAE"/>
    <w:rsid w:val="00D67E14"/>
    <w:rsid w:val="00DB010A"/>
    <w:rsid w:val="00DC7620"/>
    <w:rsid w:val="00DF0462"/>
    <w:rsid w:val="00E20F7D"/>
    <w:rsid w:val="00E25766"/>
    <w:rsid w:val="00E41657"/>
    <w:rsid w:val="00E500CE"/>
    <w:rsid w:val="00E55E8E"/>
    <w:rsid w:val="00E72328"/>
    <w:rsid w:val="00E80A4A"/>
    <w:rsid w:val="00E924DC"/>
    <w:rsid w:val="00EA5199"/>
    <w:rsid w:val="00EB12B3"/>
    <w:rsid w:val="00EB6523"/>
    <w:rsid w:val="00ED2131"/>
    <w:rsid w:val="00F22F05"/>
    <w:rsid w:val="00F63506"/>
    <w:rsid w:val="00F7787C"/>
    <w:rsid w:val="00FB1245"/>
    <w:rsid w:val="00FB627A"/>
    <w:rsid w:val="00FC4233"/>
    <w:rsid w:val="00FC570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D6842-1144-47C7-8851-F2131C9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10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10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1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210C"/>
    <w:pPr>
      <w:ind w:left="720"/>
      <w:contextualSpacing/>
    </w:pPr>
  </w:style>
  <w:style w:type="table" w:styleId="aa">
    <w:name w:val="Table Grid"/>
    <w:basedOn w:val="a1"/>
    <w:uiPriority w:val="59"/>
    <w:rsid w:val="004C21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C21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E80A4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517C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265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работников и внешних совместителей в организациях дополнительного образования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в  201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-2019 годах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численность работников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3677</c:v>
                </c:pt>
                <c:pt idx="1">
                  <c:v>3620</c:v>
                </c:pt>
                <c:pt idx="2">
                  <c:v>3541</c:v>
                </c:pt>
                <c:pt idx="3">
                  <c:v>3408</c:v>
                </c:pt>
                <c:pt idx="4">
                  <c:v>3654</c:v>
                </c:pt>
                <c:pt idx="5">
                  <c:v>3714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0-46AC-A14C-65BAFEA9741A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численность педагогических работников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1975</c:v>
                </c:pt>
                <c:pt idx="1">
                  <c:v>2021</c:v>
                </c:pt>
                <c:pt idx="2">
                  <c:v>1960</c:v>
                </c:pt>
                <c:pt idx="3">
                  <c:v>1862</c:v>
                </c:pt>
                <c:pt idx="4">
                  <c:v>1960</c:v>
                </c:pt>
                <c:pt idx="5">
                  <c:v>1984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0-46AC-A14C-65BAFEA9741A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численность уч. вспомогательного и обслуживающего персонала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145</c:v>
                </c:pt>
                <c:pt idx="1">
                  <c:v>131</c:v>
                </c:pt>
                <c:pt idx="2">
                  <c:v>104</c:v>
                </c:pt>
                <c:pt idx="3">
                  <c:v>108</c:v>
                </c:pt>
                <c:pt idx="4">
                  <c:v>134</c:v>
                </c:pt>
                <c:pt idx="5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0-46AC-A14C-65BAFEA97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5606016"/>
        <c:axId val="235608704"/>
      </c:barChart>
      <c:catAx>
        <c:axId val="23560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5608704"/>
        <c:crosses val="autoZero"/>
        <c:auto val="1"/>
        <c:lblAlgn val="ctr"/>
        <c:lblOffset val="100"/>
        <c:noMultiLvlLbl val="0"/>
      </c:catAx>
      <c:valAx>
        <c:axId val="2356087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5606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педагогических работников, имеющих высщее образование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 высшую категорию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880583589023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670240163641522E-2"/>
          <c:y val="0.12885182672591869"/>
          <c:w val="0.88037722984157496"/>
          <c:h val="0.30793640088350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педагогов, имеющих высшее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Лист1!$A$2:$A$34</c:f>
              <c:strCache>
                <c:ptCount val="33"/>
                <c:pt idx="0">
                  <c:v>Александровский район</c:v>
                </c:pt>
                <c:pt idx="1">
                  <c:v>Андроповский район</c:v>
                </c:pt>
                <c:pt idx="2">
                  <c:v>Апанасенковский район</c:v>
                </c:pt>
                <c:pt idx="3">
                  <c:v>Арзгирский район</c:v>
                </c:pt>
                <c:pt idx="4">
                  <c:v>Благодарненский городской округ</c:v>
                </c:pt>
                <c:pt idx="5">
                  <c:v>Буденновский район</c:v>
                </c:pt>
                <c:pt idx="6">
                  <c:v>Георгиевский городской округ</c:v>
                </c:pt>
                <c:pt idx="7">
                  <c:v>Грачевский район</c:v>
                </c:pt>
                <c:pt idx="8">
                  <c:v>Изобильненский городской округ</c:v>
                </c:pt>
                <c:pt idx="9">
                  <c:v>Ипатовский городской округ</c:v>
                </c:pt>
                <c:pt idx="10">
                  <c:v>Кировский городской округ</c:v>
                </c:pt>
                <c:pt idx="11">
                  <c:v>Кочубеевский район</c:v>
                </c:pt>
                <c:pt idx="12">
                  <c:v>Красногвардейский район</c:v>
                </c:pt>
                <c:pt idx="13">
                  <c:v>Курский район</c:v>
                </c:pt>
                <c:pt idx="14">
                  <c:v>Левокумский район</c:v>
                </c:pt>
                <c:pt idx="15">
                  <c:v>Минераловодский городской округ</c:v>
                </c:pt>
                <c:pt idx="16">
                  <c:v>Нефтекумский городской округ</c:v>
                </c:pt>
                <c:pt idx="17">
                  <c:v>Новоалександровский городской округ</c:v>
                </c:pt>
                <c:pt idx="18">
                  <c:v>Новоселицкий район</c:v>
                </c:pt>
                <c:pt idx="19">
                  <c:v>Петровский городской округ</c:v>
                </c:pt>
                <c:pt idx="20">
                  <c:v>Предгорный район</c:v>
                </c:pt>
                <c:pt idx="21">
                  <c:v>Советский городской округ</c:v>
                </c:pt>
                <c:pt idx="22">
                  <c:v>Степновский район</c:v>
                </c:pt>
                <c:pt idx="23">
                  <c:v>Труновский район</c:v>
                </c:pt>
                <c:pt idx="24">
                  <c:v>Туркменский район</c:v>
                </c:pt>
                <c:pt idx="25">
                  <c:v>Шпаковский район</c:v>
                </c:pt>
                <c:pt idx="26">
                  <c:v>г. Ессентуки</c:v>
                </c:pt>
                <c:pt idx="27">
                  <c:v>г. Железноводск</c:v>
                </c:pt>
                <c:pt idx="28">
                  <c:v>г. Кисловодск</c:v>
                </c:pt>
                <c:pt idx="29">
                  <c:v>г. Лермонтов</c:v>
                </c:pt>
                <c:pt idx="30">
                  <c:v>г. Невинномысск</c:v>
                </c:pt>
                <c:pt idx="31">
                  <c:v>г. Пятигорск</c:v>
                </c:pt>
                <c:pt idx="32">
                  <c:v>г. Ставрополь</c:v>
                </c:pt>
              </c:strCache>
            </c:strRef>
          </c:cat>
          <c:val>
            <c:numRef>
              <c:f>Лист1!$B$2:$B$34</c:f>
              <c:numCache>
                <c:formatCode>0.00%</c:formatCode>
                <c:ptCount val="33"/>
                <c:pt idx="0">
                  <c:v>0.6</c:v>
                </c:pt>
                <c:pt idx="1">
                  <c:v>0.76200000000000001</c:v>
                </c:pt>
                <c:pt idx="2">
                  <c:v>0.79200000000000004</c:v>
                </c:pt>
                <c:pt idx="3">
                  <c:v>0.64700000000000002</c:v>
                </c:pt>
                <c:pt idx="4">
                  <c:v>0.755</c:v>
                </c:pt>
                <c:pt idx="5">
                  <c:v>0.58499999999999996</c:v>
                </c:pt>
                <c:pt idx="6">
                  <c:v>0.77100000000000002</c:v>
                </c:pt>
                <c:pt idx="7">
                  <c:v>0.72699999999999998</c:v>
                </c:pt>
                <c:pt idx="8">
                  <c:v>0.81799999999999995</c:v>
                </c:pt>
                <c:pt idx="9">
                  <c:v>0.68600000000000005</c:v>
                </c:pt>
                <c:pt idx="10">
                  <c:v>0.55600000000000005</c:v>
                </c:pt>
                <c:pt idx="11">
                  <c:v>0.61499999999999999</c:v>
                </c:pt>
                <c:pt idx="12">
                  <c:v>0.71399999999999997</c:v>
                </c:pt>
                <c:pt idx="13">
                  <c:v>0.58799999999999997</c:v>
                </c:pt>
                <c:pt idx="14">
                  <c:v>0.625</c:v>
                </c:pt>
                <c:pt idx="15">
                  <c:v>0.52600000000000002</c:v>
                </c:pt>
                <c:pt idx="16">
                  <c:v>0.69799999999999995</c:v>
                </c:pt>
                <c:pt idx="17">
                  <c:v>0.77800000000000002</c:v>
                </c:pt>
                <c:pt idx="18">
                  <c:v>0.79200000000000004</c:v>
                </c:pt>
                <c:pt idx="19">
                  <c:v>0.83299999999999996</c:v>
                </c:pt>
                <c:pt idx="20">
                  <c:v>0.86399999999999999</c:v>
                </c:pt>
                <c:pt idx="21">
                  <c:v>0.87</c:v>
                </c:pt>
                <c:pt idx="22">
                  <c:v>0.85699999999999998</c:v>
                </c:pt>
                <c:pt idx="23">
                  <c:v>0.73899999999999999</c:v>
                </c:pt>
                <c:pt idx="24">
                  <c:v>0.77800000000000002</c:v>
                </c:pt>
                <c:pt idx="25">
                  <c:v>0.75</c:v>
                </c:pt>
                <c:pt idx="26">
                  <c:v>0.75</c:v>
                </c:pt>
                <c:pt idx="27">
                  <c:v>0.8</c:v>
                </c:pt>
                <c:pt idx="28">
                  <c:v>0.80800000000000005</c:v>
                </c:pt>
                <c:pt idx="29">
                  <c:v>0.84399999999999997</c:v>
                </c:pt>
                <c:pt idx="30">
                  <c:v>0.79800000000000004</c:v>
                </c:pt>
                <c:pt idx="31">
                  <c:v>0.71799999999999997</c:v>
                </c:pt>
                <c:pt idx="32">
                  <c:v>0.78100000000000003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5-45AE-A30D-CDD8E941E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124688"/>
        <c:axId val="4171238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педагогов, имеющих высшую категорию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Лист1!$A$2:$A$34</c:f>
              <c:strCache>
                <c:ptCount val="33"/>
                <c:pt idx="0">
                  <c:v>Александровский район</c:v>
                </c:pt>
                <c:pt idx="1">
                  <c:v>Андроповский район</c:v>
                </c:pt>
                <c:pt idx="2">
                  <c:v>Апанасенковский район</c:v>
                </c:pt>
                <c:pt idx="3">
                  <c:v>Арзгирский район</c:v>
                </c:pt>
                <c:pt idx="4">
                  <c:v>Благодарненский городской округ</c:v>
                </c:pt>
                <c:pt idx="5">
                  <c:v>Буденновский район</c:v>
                </c:pt>
                <c:pt idx="6">
                  <c:v>Георгиевский городской округ</c:v>
                </c:pt>
                <c:pt idx="7">
                  <c:v>Грачевский район</c:v>
                </c:pt>
                <c:pt idx="8">
                  <c:v>Изобильненский городской округ</c:v>
                </c:pt>
                <c:pt idx="9">
                  <c:v>Ипатовский городской округ</c:v>
                </c:pt>
                <c:pt idx="10">
                  <c:v>Кировский городской округ</c:v>
                </c:pt>
                <c:pt idx="11">
                  <c:v>Кочубеевский район</c:v>
                </c:pt>
                <c:pt idx="12">
                  <c:v>Красногвардейский район</c:v>
                </c:pt>
                <c:pt idx="13">
                  <c:v>Курский район</c:v>
                </c:pt>
                <c:pt idx="14">
                  <c:v>Левокумский район</c:v>
                </c:pt>
                <c:pt idx="15">
                  <c:v>Минераловодский городской округ</c:v>
                </c:pt>
                <c:pt idx="16">
                  <c:v>Нефтекумский городской округ</c:v>
                </c:pt>
                <c:pt idx="17">
                  <c:v>Новоалександровский городской округ</c:v>
                </c:pt>
                <c:pt idx="18">
                  <c:v>Новоселицкий район</c:v>
                </c:pt>
                <c:pt idx="19">
                  <c:v>Петровский городской округ</c:v>
                </c:pt>
                <c:pt idx="20">
                  <c:v>Предгорный район</c:v>
                </c:pt>
                <c:pt idx="21">
                  <c:v>Советский городской округ</c:v>
                </c:pt>
                <c:pt idx="22">
                  <c:v>Степновский район</c:v>
                </c:pt>
                <c:pt idx="23">
                  <c:v>Труновский район</c:v>
                </c:pt>
                <c:pt idx="24">
                  <c:v>Туркменский район</c:v>
                </c:pt>
                <c:pt idx="25">
                  <c:v>Шпаковский район</c:v>
                </c:pt>
                <c:pt idx="26">
                  <c:v>г. Ессентуки</c:v>
                </c:pt>
                <c:pt idx="27">
                  <c:v>г. Железноводск</c:v>
                </c:pt>
                <c:pt idx="28">
                  <c:v>г. Кисловодск</c:v>
                </c:pt>
                <c:pt idx="29">
                  <c:v>г. Лермонтов</c:v>
                </c:pt>
                <c:pt idx="30">
                  <c:v>г. Невинномысск</c:v>
                </c:pt>
                <c:pt idx="31">
                  <c:v>г. Пятигорск</c:v>
                </c:pt>
                <c:pt idx="32">
                  <c:v>г. Ставрополь</c:v>
                </c:pt>
              </c:strCache>
            </c:strRef>
          </c:cat>
          <c:val>
            <c:numRef>
              <c:f>Лист1!$C$2:$C$34</c:f>
              <c:numCache>
                <c:formatCode>0.00%</c:formatCode>
                <c:ptCount val="33"/>
                <c:pt idx="0">
                  <c:v>0.16</c:v>
                </c:pt>
                <c:pt idx="1">
                  <c:v>0.28570000000000001</c:v>
                </c:pt>
                <c:pt idx="2">
                  <c:v>0.54169999999999996</c:v>
                </c:pt>
                <c:pt idx="3">
                  <c:v>0.43140000000000001</c:v>
                </c:pt>
                <c:pt idx="4">
                  <c:v>0.2041</c:v>
                </c:pt>
                <c:pt idx="5">
                  <c:v>0.2</c:v>
                </c:pt>
                <c:pt idx="6">
                  <c:v>0.35420000000000001</c:v>
                </c:pt>
                <c:pt idx="7">
                  <c:v>0.2727</c:v>
                </c:pt>
                <c:pt idx="8">
                  <c:v>0.45450000000000002</c:v>
                </c:pt>
                <c:pt idx="9">
                  <c:v>0.37140000000000001</c:v>
                </c:pt>
                <c:pt idx="10">
                  <c:v>0.22220000000000001</c:v>
                </c:pt>
                <c:pt idx="11">
                  <c:v>0.26040000000000002</c:v>
                </c:pt>
                <c:pt idx="12">
                  <c:v>0.1429</c:v>
                </c:pt>
                <c:pt idx="13">
                  <c:v>0.1176</c:v>
                </c:pt>
                <c:pt idx="14">
                  <c:v>0.16669999999999999</c:v>
                </c:pt>
                <c:pt idx="15">
                  <c:v>0.26319999999999999</c:v>
                </c:pt>
                <c:pt idx="16">
                  <c:v>0.3256</c:v>
                </c:pt>
                <c:pt idx="17">
                  <c:v>0.38890000000000002</c:v>
                </c:pt>
                <c:pt idx="18">
                  <c:v>0.625</c:v>
                </c:pt>
                <c:pt idx="19">
                  <c:v>0.51519999999999999</c:v>
                </c:pt>
                <c:pt idx="20">
                  <c:v>0.36359999999999998</c:v>
                </c:pt>
                <c:pt idx="21">
                  <c:v>0.5</c:v>
                </c:pt>
                <c:pt idx="22">
                  <c:v>0.1429</c:v>
                </c:pt>
                <c:pt idx="23">
                  <c:v>0.26090000000000002</c:v>
                </c:pt>
                <c:pt idx="24">
                  <c:v>0</c:v>
                </c:pt>
                <c:pt idx="25">
                  <c:v>0.42859999999999998</c:v>
                </c:pt>
                <c:pt idx="26">
                  <c:v>0.3125</c:v>
                </c:pt>
                <c:pt idx="27">
                  <c:v>0.24</c:v>
                </c:pt>
                <c:pt idx="28">
                  <c:v>0.3654</c:v>
                </c:pt>
                <c:pt idx="29">
                  <c:v>0.28129999999999999</c:v>
                </c:pt>
                <c:pt idx="30">
                  <c:v>0.16669999999999999</c:v>
                </c:pt>
                <c:pt idx="31">
                  <c:v>0.2051</c:v>
                </c:pt>
                <c:pt idx="32">
                  <c:v>0.32750000000000001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05-45AE-A30D-CDD8E941E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124688"/>
        <c:axId val="417123856"/>
      </c:lineChart>
      <c:catAx>
        <c:axId val="41712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123856"/>
        <c:crosses val="autoZero"/>
        <c:auto val="1"/>
        <c:lblAlgn val="ctr"/>
        <c:lblOffset val="100"/>
        <c:noMultiLvlLbl val="0"/>
      </c:catAx>
      <c:valAx>
        <c:axId val="4171238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12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 организаций дополнительного образования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(на 01.01.2020 г.)</a:t>
            </a:r>
          </a:p>
        </c:rich>
      </c:tx>
      <c:overlay val="0"/>
    </c:title>
    <c:autoTitleDeleted val="0"/>
    <c:view3D>
      <c:rotX val="2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3315966754155732"/>
          <c:w val="0.79458483419909587"/>
          <c:h val="0.563125109361329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работников (%)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0296312952217146E-2"/>
                  <c:y val="-0.10517847769028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F-4EA2-A698-673493034552}"/>
                </c:ext>
              </c:extLst>
            </c:dLbl>
            <c:dLbl>
              <c:idx val="2"/>
              <c:layout>
                <c:manualLayout>
                  <c:x val="-5.2983086661517811E-2"/>
                  <c:y val="-4.4061679790026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6F-4EA2-A698-6734930345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и более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7.51E-2</c:v>
                </c:pt>
                <c:pt idx="1">
                  <c:v>9.7199999999999995E-2</c:v>
                </c:pt>
                <c:pt idx="2">
                  <c:v>0.129</c:v>
                </c:pt>
                <c:pt idx="3">
                  <c:v>0.23069999999999999</c:v>
                </c:pt>
                <c:pt idx="4">
                  <c:v>0.46820000000000001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F-4EA2-A698-673493034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 руководящих и педагогических работников  </a:t>
            </a: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(на 01.01.2020 г.)</a:t>
            </a:r>
          </a:p>
        </c:rich>
      </c:tx>
      <c:overlay val="0"/>
    </c:title>
    <c:autoTitleDeleted val="0"/>
    <c:view3D>
      <c:rotX val="2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339820327337129"/>
          <c:w val="0.7579617834394905"/>
          <c:h val="0.59175042144122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4880599978988309E-2"/>
                  <c:y val="4.340384294100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E-46A6-B452-2C77EB7D34F4}"/>
                </c:ext>
              </c:extLst>
            </c:dLbl>
            <c:dLbl>
              <c:idx val="1"/>
              <c:layout>
                <c:manualLayout>
                  <c:x val="-1.9019342327431993E-2"/>
                  <c:y val="-0.15454927225005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E-46A6-B452-2C77EB7D34F4}"/>
                </c:ext>
              </c:extLst>
            </c:dLbl>
            <c:dLbl>
              <c:idx val="2"/>
              <c:layout>
                <c:manualLayout>
                  <c:x val="-9.9286086869814202E-2"/>
                  <c:y val="9.3104858151791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DE-46A6-B452-2C77EB7D34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 лет и старше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5.0599999999999999E-2</c:v>
                </c:pt>
                <c:pt idx="1">
                  <c:v>0.1583</c:v>
                </c:pt>
                <c:pt idx="2">
                  <c:v>0.7913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DE-46A6-B452-2C77EB7D3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Доля сотрудников и  педагогических работников пенсионного возраста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(на 01.01.2020 г. в разрезе видов ОДО)</a:t>
            </a:r>
          </a:p>
        </c:rich>
      </c:tx>
      <c:layout>
        <c:manualLayout>
          <c:xMode val="edge"/>
          <c:yMode val="edge"/>
          <c:x val="0.143843089901302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2433397901939576E-2"/>
          <c:y val="0.31583087512291053"/>
          <c:w val="0.98756660209806024"/>
          <c:h val="0.50544739429695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работников пенсионного возраста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0.26</c:v>
                </c:pt>
                <c:pt idx="1">
                  <c:v>0.253</c:v>
                </c:pt>
                <c:pt idx="2">
                  <c:v>0.27100000000000002</c:v>
                </c:pt>
                <c:pt idx="3">
                  <c:v>0.39300000000000002</c:v>
                </c:pt>
                <c:pt idx="4">
                  <c:v>0.69199999999999995</c:v>
                </c:pt>
                <c:pt idx="5">
                  <c:v>0.30099999999999999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8-4E63-90A8-5D1137D995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педагогических работников пенсионного возраста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0.224</c:v>
                </c:pt>
                <c:pt idx="1">
                  <c:v>0.19900000000000001</c:v>
                </c:pt>
                <c:pt idx="2">
                  <c:v>0.20499999999999999</c:v>
                </c:pt>
                <c:pt idx="3">
                  <c:v>0.32800000000000001</c:v>
                </c:pt>
                <c:pt idx="4">
                  <c:v>0.54500000000000004</c:v>
                </c:pt>
                <c:pt idx="5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7-4422-BA6C-DA0A2D53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5416192"/>
        <c:axId val="215450752"/>
      </c:barChart>
      <c:catAx>
        <c:axId val="21541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50752"/>
        <c:crosses val="autoZero"/>
        <c:auto val="1"/>
        <c:lblAlgn val="ctr"/>
        <c:lblOffset val="100"/>
        <c:noMultiLvlLbl val="0"/>
      </c:catAx>
      <c:valAx>
        <c:axId val="21545075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215416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116433129564872E-3"/>
          <c:y val="0.91871847877422397"/>
          <c:w val="0.99110647111603067"/>
          <c:h val="8.1281521225775963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вакансий в  учреждениях дополнительного образования  ( на 01.01.2020 г.)</a:t>
            </a:r>
          </a:p>
        </c:rich>
      </c:tx>
      <c:layout>
        <c:manualLayout>
          <c:xMode val="edge"/>
          <c:yMode val="edge"/>
          <c:x val="0.1686602560008422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01231735796805"/>
          <c:y val="0.20754968128983878"/>
          <c:w val="0.89998768264203199"/>
          <c:h val="0.625714808904700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 </c:v>
                </c:pt>
              </c:strCache>
            </c:strRef>
          </c:tx>
          <c:invertIfNegative val="0"/>
          <c:dLbls>
            <c:dLbl>
              <c:idx val="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87-4737-A56A-D79680BFE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педагогические работники</c:v>
                </c:pt>
                <c:pt idx="2">
                  <c:v>учебно-вспомогательный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8.7999999999999995E-2</c:v>
                </c:pt>
                <c:pt idx="1">
                  <c:v>0.59599999999999997</c:v>
                </c:pt>
                <c:pt idx="2">
                  <c:v>8.7999999999999995E-2</c:v>
                </c:pt>
                <c:pt idx="3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7-4737-A56A-D79680BFEA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год</c:v>
                </c:pt>
              </c:strCache>
            </c:strRef>
          </c:tx>
          <c:invertIfNegative val="0"/>
          <c:dLbls>
            <c:dLbl>
              <c:idx val="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87-4737-A56A-D79680BFE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педагогические работники</c:v>
                </c:pt>
                <c:pt idx="2">
                  <c:v>учебно-вспомогательный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9.6000000000000002E-2</c:v>
                </c:pt>
                <c:pt idx="1">
                  <c:v>0.69199999999999995</c:v>
                </c:pt>
                <c:pt idx="2">
                  <c:v>3.7999999999999999E-2</c:v>
                </c:pt>
                <c:pt idx="3">
                  <c:v>0.17299999999999999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87-4737-A56A-D79680BFEA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1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87-4737-A56A-D79680BFE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педагогические работники</c:v>
                </c:pt>
                <c:pt idx="2">
                  <c:v>учебно-вспомогательный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8.2000000000000003E-2</c:v>
                </c:pt>
                <c:pt idx="1">
                  <c:v>0.65300000000000002</c:v>
                </c:pt>
                <c:pt idx="2">
                  <c:v>4.1000000000000002E-2</c:v>
                </c:pt>
                <c:pt idx="3">
                  <c:v>0.224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87-4737-A56A-D79680BFEA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1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87-4737-A56A-D79680BFE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педагогические работники</c:v>
                </c:pt>
                <c:pt idx="2">
                  <c:v>учебно-вспомогательный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4.0816326530612242E-2</c:v>
                </c:pt>
                <c:pt idx="1">
                  <c:v>0.83673469387755106</c:v>
                </c:pt>
                <c:pt idx="2">
                  <c:v>2.0408163265306121E-2</c:v>
                </c:pt>
                <c:pt idx="3">
                  <c:v>0.10204081632653061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87-4737-A56A-D79680BFEA7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500963391136801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CD-4640-83AB-9BAEC8071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педагогические работники</c:v>
                </c:pt>
                <c:pt idx="2">
                  <c:v>учебно-вспомогательный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6.6699999999999995E-2</c:v>
                </c:pt>
                <c:pt idx="1">
                  <c:v>0.73329999999999995</c:v>
                </c:pt>
                <c:pt idx="2">
                  <c:v>0.05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D-4640-83AB-9BAEC8071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5988096"/>
        <c:axId val="215989632"/>
      </c:barChart>
      <c:catAx>
        <c:axId val="21598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989632"/>
        <c:crosses val="autoZero"/>
        <c:auto val="1"/>
        <c:lblAlgn val="ctr"/>
        <c:lblOffset val="100"/>
        <c:noMultiLvlLbl val="0"/>
      </c:catAx>
      <c:valAx>
        <c:axId val="21598963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988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Связь о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тдельных показателей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 средней заработной платой педагогических работников ОДО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(статистика на 01.01.2020 и мониторинг з/п)</a:t>
            </a:r>
            <a:endParaRPr lang="ru-RU" b="1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532941631027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328830089132259E-2"/>
          <c:y val="0.1763888888888889"/>
          <c:w val="0.937781152990394"/>
          <c:h val="0.58471402012248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оплаты труда за счет внебюджетных источников  к бюджетным расходам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Лист1!$A$2:$A$35</c:f>
              <c:numCache>
                <c:formatCode>General</c:formatCode>
                <c:ptCount val="34"/>
              </c:numCache>
            </c:numRef>
          </c:cat>
          <c:val>
            <c:numRef>
              <c:f>Лист1!$B$2:$B$35</c:f>
              <c:numCache>
                <c:formatCode>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6.0000000000000001E-3</c:v>
                </c:pt>
                <c:pt idx="13">
                  <c:v>1.7000000000000001E-2</c:v>
                </c:pt>
                <c:pt idx="14">
                  <c:v>1.9E-2</c:v>
                </c:pt>
                <c:pt idx="15">
                  <c:v>2.1999999999999999E-2</c:v>
                </c:pt>
                <c:pt idx="16">
                  <c:v>3.2000000000000001E-2</c:v>
                </c:pt>
                <c:pt idx="17">
                  <c:v>3.9E-2</c:v>
                </c:pt>
                <c:pt idx="18">
                  <c:v>4.7E-2</c:v>
                </c:pt>
                <c:pt idx="19">
                  <c:v>6.0999999999999999E-2</c:v>
                </c:pt>
                <c:pt idx="20">
                  <c:v>7.9000000000000001E-2</c:v>
                </c:pt>
                <c:pt idx="21">
                  <c:v>8.1000000000000003E-2</c:v>
                </c:pt>
                <c:pt idx="22">
                  <c:v>9.5000000000000001E-2</c:v>
                </c:pt>
                <c:pt idx="23">
                  <c:v>0.121</c:v>
                </c:pt>
                <c:pt idx="24">
                  <c:v>0.128</c:v>
                </c:pt>
                <c:pt idx="25">
                  <c:v>0.13500000000000001</c:v>
                </c:pt>
                <c:pt idx="26">
                  <c:v>0.13600000000000001</c:v>
                </c:pt>
                <c:pt idx="27">
                  <c:v>0.159</c:v>
                </c:pt>
                <c:pt idx="28">
                  <c:v>0.16900000000000001</c:v>
                </c:pt>
                <c:pt idx="29">
                  <c:v>0.22</c:v>
                </c:pt>
                <c:pt idx="30">
                  <c:v>0.28699999999999998</c:v>
                </c:pt>
                <c:pt idx="31">
                  <c:v>0.28899999999999998</c:v>
                </c:pt>
                <c:pt idx="32">
                  <c:v>0.307</c:v>
                </c:pt>
                <c:pt idx="33">
                  <c:v>0.44600000000000001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F-4758-82B4-49816DF20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7028704"/>
        <c:axId val="3378471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педагогических работников, имеющих высшую категорию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8"/>
              <c:layout>
                <c:manualLayout>
                  <c:x val="-1.2994923857868119E-2"/>
                  <c:y val="-4.2824074074074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4F-4758-82B4-49816DF208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Лист1!$A$2:$A$35</c:f>
              <c:numCache>
                <c:formatCode>General</c:formatCode>
                <c:ptCount val="34"/>
              </c:numCache>
            </c:numRef>
          </c:cat>
          <c:val>
            <c:numRef>
              <c:f>Лист1!$C$2:$C$35</c:f>
              <c:numCache>
                <c:formatCode>0.00%</c:formatCode>
                <c:ptCount val="34"/>
                <c:pt idx="0">
                  <c:v>0.16</c:v>
                </c:pt>
                <c:pt idx="1">
                  <c:v>0.54169999999999996</c:v>
                </c:pt>
                <c:pt idx="2">
                  <c:v>0.2727</c:v>
                </c:pt>
                <c:pt idx="3">
                  <c:v>0.22220000000000001</c:v>
                </c:pt>
                <c:pt idx="4">
                  <c:v>0.1429</c:v>
                </c:pt>
                <c:pt idx="5">
                  <c:v>0.1176</c:v>
                </c:pt>
                <c:pt idx="6">
                  <c:v>0.16669999999999999</c:v>
                </c:pt>
                <c:pt idx="7">
                  <c:v>0.26319999999999999</c:v>
                </c:pt>
                <c:pt idx="8">
                  <c:v>0.36359999999999998</c:v>
                </c:pt>
                <c:pt idx="9">
                  <c:v>0.5</c:v>
                </c:pt>
                <c:pt idx="10">
                  <c:v>0.1429</c:v>
                </c:pt>
                <c:pt idx="11">
                  <c:v>0.3125</c:v>
                </c:pt>
                <c:pt idx="12">
                  <c:v>0</c:v>
                </c:pt>
                <c:pt idx="13">
                  <c:v>0.45450000000000002</c:v>
                </c:pt>
                <c:pt idx="14">
                  <c:v>0.26040000000000002</c:v>
                </c:pt>
                <c:pt idx="15">
                  <c:v>0.35420000000000001</c:v>
                </c:pt>
                <c:pt idx="16">
                  <c:v>0.3256</c:v>
                </c:pt>
                <c:pt idx="17">
                  <c:v>0.32750000000000001</c:v>
                </c:pt>
                <c:pt idx="18">
                  <c:v>0.24</c:v>
                </c:pt>
                <c:pt idx="19">
                  <c:v>0.3654</c:v>
                </c:pt>
                <c:pt idx="20">
                  <c:v>0.43140000000000001</c:v>
                </c:pt>
                <c:pt idx="21">
                  <c:v>0.2</c:v>
                </c:pt>
                <c:pt idx="22">
                  <c:v>0.28129999999999999</c:v>
                </c:pt>
                <c:pt idx="23">
                  <c:v>0.16669999999999999</c:v>
                </c:pt>
                <c:pt idx="24">
                  <c:v>0.37140000000000001</c:v>
                </c:pt>
                <c:pt idx="25">
                  <c:v>0.26090000000000002</c:v>
                </c:pt>
                <c:pt idx="26">
                  <c:v>0.38890000000000002</c:v>
                </c:pt>
                <c:pt idx="27">
                  <c:v>0.2051</c:v>
                </c:pt>
                <c:pt idx="28">
                  <c:v>0.2041</c:v>
                </c:pt>
                <c:pt idx="29">
                  <c:v>0.51519999999999999</c:v>
                </c:pt>
                <c:pt idx="30">
                  <c:v>0.28570000000000001</c:v>
                </c:pt>
                <c:pt idx="31">
                  <c:v>0.625</c:v>
                </c:pt>
                <c:pt idx="32">
                  <c:v>0.42859999999999998</c:v>
                </c:pt>
                <c:pt idx="33">
                  <c:v>0.313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4F-4758-82B4-49816DF208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Отношение средней заработной платы в муниципальном образовании к средней краевой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65000"/>
                </a:schemeClr>
              </a:solidFill>
              <a:ln w="9525">
                <a:solidFill>
                  <a:srgbClr val="00206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Лист1!$A$2:$A$35</c:f>
              <c:numCache>
                <c:formatCode>General</c:formatCode>
                <c:ptCount val="34"/>
              </c:numCache>
            </c:numRef>
          </c:cat>
          <c:val>
            <c:numRef>
              <c:f>Лист1!$D$2:$D$35</c:f>
              <c:numCache>
                <c:formatCode>0.0%</c:formatCode>
                <c:ptCount val="34"/>
                <c:pt idx="0">
                  <c:v>0.94810189238194387</c:v>
                </c:pt>
                <c:pt idx="1">
                  <c:v>0.96276036430954148</c:v>
                </c:pt>
                <c:pt idx="2">
                  <c:v>0.95237320802250891</c:v>
                </c:pt>
                <c:pt idx="3">
                  <c:v>0.95494435278806755</c:v>
                </c:pt>
                <c:pt idx="4">
                  <c:v>0.94365302489045688</c:v>
                </c:pt>
                <c:pt idx="5">
                  <c:v>0.9747033373406836</c:v>
                </c:pt>
                <c:pt idx="6">
                  <c:v>1.0163135088236928</c:v>
                </c:pt>
                <c:pt idx="7">
                  <c:v>0.92888973768952066</c:v>
                </c:pt>
                <c:pt idx="8">
                  <c:v>1.0478136690306676</c:v>
                </c:pt>
                <c:pt idx="9">
                  <c:v>0.92996773107011921</c:v>
                </c:pt>
                <c:pt idx="10">
                  <c:v>1.0759996523564599</c:v>
                </c:pt>
                <c:pt idx="11">
                  <c:v>0.90280378991139942</c:v>
                </c:pt>
                <c:pt idx="12">
                  <c:v>0.90402986750379632</c:v>
                </c:pt>
                <c:pt idx="13">
                  <c:v>0.92722724063162199</c:v>
                </c:pt>
                <c:pt idx="14">
                  <c:v>1.0931117715012122</c:v>
                </c:pt>
                <c:pt idx="15">
                  <c:v>1.0540402930799166</c:v>
                </c:pt>
                <c:pt idx="16">
                  <c:v>0.99286360921882033</c:v>
                </c:pt>
                <c:pt idx="17">
                  <c:v>0.96294239225754574</c:v>
                </c:pt>
                <c:pt idx="18">
                  <c:v>0.92136056938938948</c:v>
                </c:pt>
                <c:pt idx="19">
                  <c:v>0.97984413483944055</c:v>
                </c:pt>
                <c:pt idx="20">
                  <c:v>0.97624945587444845</c:v>
                </c:pt>
                <c:pt idx="21">
                  <c:v>1.0286485133576062</c:v>
                </c:pt>
                <c:pt idx="22">
                  <c:v>0.94874309328895023</c:v>
                </c:pt>
                <c:pt idx="23">
                  <c:v>0.98960314550262285</c:v>
                </c:pt>
                <c:pt idx="24">
                  <c:v>0.88565810003853163</c:v>
                </c:pt>
                <c:pt idx="25">
                  <c:v>0.9929068781572804</c:v>
                </c:pt>
                <c:pt idx="26">
                  <c:v>1.0020963054667693</c:v>
                </c:pt>
                <c:pt idx="27">
                  <c:v>0.93815973474648684</c:v>
                </c:pt>
                <c:pt idx="28">
                  <c:v>0.9407103640670863</c:v>
                </c:pt>
                <c:pt idx="29">
                  <c:v>0.96706525067822191</c:v>
                </c:pt>
                <c:pt idx="30">
                  <c:v>0.95410956068226171</c:v>
                </c:pt>
                <c:pt idx="31">
                  <c:v>0.98931518325700962</c:v>
                </c:pt>
                <c:pt idx="32">
                  <c:v>1.0673428805997374</c:v>
                </c:pt>
                <c:pt idx="33">
                  <c:v>1.1635800868885045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4F-4758-82B4-49816DF20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028704"/>
        <c:axId val="337847104"/>
      </c:lineChart>
      <c:catAx>
        <c:axId val="1470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847104"/>
        <c:crosses val="autoZero"/>
        <c:auto val="1"/>
        <c:lblAlgn val="ctr"/>
        <c:lblOffset val="100"/>
        <c:noMultiLvlLbl val="0"/>
      </c:catAx>
      <c:valAx>
        <c:axId val="337847104"/>
        <c:scaling>
          <c:orientation val="minMax"/>
          <c:max val="1.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0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Педагогические работники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учреждений дополнительного образования Ставропольского края 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(на 01.01.2020 г.) </a:t>
            </a:r>
          </a:p>
        </c:rich>
      </c:tx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63762364632469E-4"/>
          <c:y val="0.34417206381625504"/>
          <c:w val="0.5457410407431128"/>
          <c:h val="0.6515141579998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Педагогические работники  учреждений дополнительного образования Ставропольского края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640649449820363E-2"/>
                  <c:y val="-0.251767129791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2-4B98-9D0B-F2FAA69CBC3F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F02-4B98-9D0B-F2FAA69CBC3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5BE-4B6E-B17D-01410B1AFB9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5BE-4B6E-B17D-01410B1AFB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педагоги доп.образования</c:v>
                </c:pt>
                <c:pt idx="1">
                  <c:v>тренеры-преподаватели</c:v>
                </c:pt>
                <c:pt idx="2">
                  <c:v>другие пед. работники</c:v>
                </c:pt>
                <c:pt idx="3">
                  <c:v>методисты</c:v>
                </c:pt>
                <c:pt idx="4">
                  <c:v>педагоги-организаторы</c:v>
                </c:pt>
                <c:pt idx="5">
                  <c:v>учителя</c:v>
                </c:pt>
                <c:pt idx="6">
                  <c:v>социальные педагоги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0.47399999999999998</c:v>
                </c:pt>
                <c:pt idx="1">
                  <c:v>0.192</c:v>
                </c:pt>
                <c:pt idx="2">
                  <c:v>0.121</c:v>
                </c:pt>
                <c:pt idx="3">
                  <c:v>0.11600000000000001</c:v>
                </c:pt>
                <c:pt idx="4">
                  <c:v>4.8979591836734691E-2</c:v>
                </c:pt>
                <c:pt idx="5">
                  <c:v>3.7999999999999999E-2</c:v>
                </c:pt>
                <c:pt idx="6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2-4B98-9D0B-F2FAA69CB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63587386504914"/>
          <c:y val="0.39681635358720091"/>
          <c:w val="0.37260495548104333"/>
          <c:h val="0.5403832200155868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сотрудников 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(по видам ОДО)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EE0-402B-93CE-252A31B76D77}"/>
                </c:ext>
              </c:extLst>
            </c:dLbl>
            <c:dLbl>
              <c:idx val="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EE0-402B-93CE-252A31B76D77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EE0-402B-93CE-252A31B76D77}"/>
                </c:ext>
              </c:extLst>
            </c:dLbl>
            <c:dLbl>
              <c:idx val="5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2EE0-402B-93CE-252A31B76D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1727</c:v>
                </c:pt>
                <c:pt idx="1">
                  <c:v>301</c:v>
                </c:pt>
                <c:pt idx="2">
                  <c:v>465</c:v>
                </c:pt>
                <c:pt idx="3">
                  <c:v>161</c:v>
                </c:pt>
                <c:pt idx="4">
                  <c:v>40</c:v>
                </c:pt>
                <c:pt idx="5">
                  <c:v>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E0-402B-93CE-252A31B76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2EE0-402B-93CE-252A31B76D77}"/>
                </c:ext>
              </c:extLst>
            </c:dLbl>
            <c:dLbl>
              <c:idx val="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2EE0-402B-93CE-252A31B76D77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EE0-402B-93CE-252A31B76D77}"/>
                </c:ext>
              </c:extLst>
            </c:dLbl>
            <c:dLbl>
              <c:idx val="5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2EE0-402B-93CE-252A31B76D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1690</c:v>
                </c:pt>
                <c:pt idx="1">
                  <c:v>369</c:v>
                </c:pt>
                <c:pt idx="2">
                  <c:v>492</c:v>
                </c:pt>
                <c:pt idx="3">
                  <c:v>195</c:v>
                </c:pt>
                <c:pt idx="4">
                  <c:v>17</c:v>
                </c:pt>
                <c:pt idx="5">
                  <c:v>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EE0-402B-93CE-252A31B76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B4B-4C94-AC76-FF402C1800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1676</c:v>
                </c:pt>
                <c:pt idx="1">
                  <c:v>360</c:v>
                </c:pt>
                <c:pt idx="2">
                  <c:v>468</c:v>
                </c:pt>
                <c:pt idx="3">
                  <c:v>159</c:v>
                </c:pt>
                <c:pt idx="4">
                  <c:v>17</c:v>
                </c:pt>
                <c:pt idx="5">
                  <c:v>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EE0-402B-93CE-252A31B76D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1604</c:v>
                </c:pt>
                <c:pt idx="1">
                  <c:v>336</c:v>
                </c:pt>
                <c:pt idx="2">
                  <c:v>448</c:v>
                </c:pt>
                <c:pt idx="3">
                  <c:v>158</c:v>
                </c:pt>
                <c:pt idx="4">
                  <c:v>37</c:v>
                </c:pt>
                <c:pt idx="5">
                  <c:v>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EE0-402B-93CE-252A31B76D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950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E0-402B-93CE-252A31B76D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1837</c:v>
                </c:pt>
                <c:pt idx="1">
                  <c:v>345</c:v>
                </c:pt>
                <c:pt idx="2">
                  <c:v>439</c:v>
                </c:pt>
                <c:pt idx="3">
                  <c:v>164</c:v>
                </c:pt>
                <c:pt idx="4">
                  <c:v>33</c:v>
                </c:pt>
                <c:pt idx="5">
                  <c:v>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EE0-402B-93CE-252A31B76D7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Дворцы</c:v>
                </c:pt>
                <c:pt idx="2">
                  <c:v>Дома</c:v>
                </c:pt>
                <c:pt idx="3">
                  <c:v>Станции</c:v>
                </c:pt>
                <c:pt idx="4">
                  <c:v>Школы</c:v>
                </c:pt>
                <c:pt idx="5">
                  <c:v>Спортивные школы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1931</c:v>
                </c:pt>
                <c:pt idx="1">
                  <c:v>352</c:v>
                </c:pt>
                <c:pt idx="2">
                  <c:v>431</c:v>
                </c:pt>
                <c:pt idx="3">
                  <c:v>122</c:v>
                </c:pt>
                <c:pt idx="4">
                  <c:v>19</c:v>
                </c:pt>
                <c:pt idx="5">
                  <c:v>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B-4C94-AC76-FF402C180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761024"/>
        <c:axId val="169766912"/>
      </c:barChart>
      <c:catAx>
        <c:axId val="16976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766912"/>
        <c:crosses val="autoZero"/>
        <c:auto val="1"/>
        <c:lblAlgn val="ctr"/>
        <c:lblOffset val="100"/>
        <c:noMultiLvlLbl val="0"/>
      </c:catAx>
      <c:valAx>
        <c:axId val="1697669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697610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педагогических работников по видам ОО (статистика на 01.01.2020 г.)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870370370370371E-2"/>
          <c:y val="0.2220050618672666"/>
          <c:w val="0.86805555555555558"/>
          <c:h val="0.59696162979627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D9-48CD-A75D-195099265FDF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D9-48CD-A75D-195099265FDF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D9-48CD-A75D-195099265FDF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D9-48CD-A75D-195099265FDF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4D9-48CD-A75D-195099265FDF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4D9-48CD-A75D-195099265FDF}"/>
              </c:ext>
            </c:extLst>
          </c:dPt>
          <c:dLbls>
            <c:dLbl>
              <c:idx val="0"/>
              <c:layout>
                <c:manualLayout>
                  <c:x val="-7.1759259259259287E-2"/>
                  <c:y val="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9-48CD-A75D-195099265FDF}"/>
                </c:ext>
              </c:extLst>
            </c:dLbl>
            <c:dLbl>
              <c:idx val="1"/>
              <c:layout>
                <c:manualLayout>
                  <c:x val="4.629629629629629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D9-48CD-A75D-195099265FDF}"/>
                </c:ext>
              </c:extLst>
            </c:dLbl>
            <c:dLbl>
              <c:idx val="2"/>
              <c:layout>
                <c:manualLayout>
                  <c:x val="4.8611111111111112E-2"/>
                  <c:y val="7.936507936507863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D9-48CD-A75D-195099265FDF}"/>
                </c:ext>
              </c:extLst>
            </c:dLbl>
            <c:dLbl>
              <c:idx val="3"/>
              <c:layout>
                <c:manualLayout>
                  <c:x val="6.2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D9-48CD-A75D-195099265FDF}"/>
                </c:ext>
              </c:extLst>
            </c:dLbl>
            <c:dLbl>
              <c:idx val="4"/>
              <c:layout>
                <c:manualLayout>
                  <c:x val="-5.0925925925926013E-2"/>
                  <c:y val="3.57142857142855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D9-48CD-A75D-195099265FDF}"/>
                </c:ext>
              </c:extLst>
            </c:dLbl>
            <c:dLbl>
              <c:idx val="5"/>
              <c:layout>
                <c:manualLayout>
                  <c:x val="-7.6388888888888937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D9-48CD-A75D-195099265F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Центры</c:v>
                </c:pt>
                <c:pt idx="1">
                  <c:v>Спортивные школы</c:v>
                </c:pt>
                <c:pt idx="2">
                  <c:v>Дома</c:v>
                </c:pt>
                <c:pt idx="3">
                  <c:v>Дворцы</c:v>
                </c:pt>
                <c:pt idx="4">
                  <c:v>Станции</c:v>
                </c:pt>
                <c:pt idx="5">
                  <c:v>Школы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0.50453629032258063</c:v>
                </c:pt>
                <c:pt idx="1">
                  <c:v>0.20463709677419356</c:v>
                </c:pt>
                <c:pt idx="2">
                  <c:v>0.13054435483870969</c:v>
                </c:pt>
                <c:pt idx="3">
                  <c:v>0.12399193548387097</c:v>
                </c:pt>
                <c:pt idx="4">
                  <c:v>3.0745967741935484E-2</c:v>
                </c:pt>
                <c:pt idx="5">
                  <c:v>5.5443548387096777E-3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D9-48CD-A75D-195099265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568168562263055E-2"/>
          <c:y val="0.9250987376577926"/>
          <c:w val="0.98743183143773694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Доля работников, имеющих внутреннее совместительство по категориям работников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85005658696333"/>
          <c:y val="0.33441392173245227"/>
          <c:w val="0.83756172281743468"/>
          <c:h val="0.54594121072486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04C-40F6-A5A8-3B73B0913017}"/>
                </c:ext>
              </c:extLst>
            </c:dLbl>
            <c:dLbl>
              <c:idx val="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04C-40F6-A5A8-3B73B0913017}"/>
                </c:ext>
              </c:extLst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04C-40F6-A5A8-3B73B09130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</c:v>
                </c:pt>
                <c:pt idx="1">
                  <c:v>педагогические работники</c:v>
                </c:pt>
                <c:pt idx="2">
                  <c:v>учебно-вспомогательный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0.219</c:v>
                </c:pt>
                <c:pt idx="1">
                  <c:v>0.50600000000000001</c:v>
                </c:pt>
                <c:pt idx="2">
                  <c:v>2.1999999999999999E-2</c:v>
                </c:pt>
                <c:pt idx="3">
                  <c:v>0.253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4C-40F6-A5A8-3B73B09130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год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04C-40F6-A5A8-3B73B09130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</c:v>
                </c:pt>
                <c:pt idx="1">
                  <c:v>педагогические работники</c:v>
                </c:pt>
                <c:pt idx="2">
                  <c:v>учебно-вспомогательный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0.214</c:v>
                </c:pt>
                <c:pt idx="1">
                  <c:v>0.51100000000000001</c:v>
                </c:pt>
                <c:pt idx="2">
                  <c:v>2.3E-2</c:v>
                </c:pt>
                <c:pt idx="3">
                  <c:v>0.251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4C-40F6-A5A8-3B73B09130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</c:v>
                </c:pt>
                <c:pt idx="1">
                  <c:v>педагогические работники</c:v>
                </c:pt>
                <c:pt idx="2">
                  <c:v>учебно-вспомогательный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0.20200000000000001</c:v>
                </c:pt>
                <c:pt idx="1">
                  <c:v>0.52300000000000002</c:v>
                </c:pt>
                <c:pt idx="2">
                  <c:v>2.3E-2</c:v>
                </c:pt>
                <c:pt idx="3">
                  <c:v>0.252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4C-40F6-A5A8-3B73B09130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</c:v>
                </c:pt>
                <c:pt idx="1">
                  <c:v>педагогические работники</c:v>
                </c:pt>
                <c:pt idx="2">
                  <c:v>учебно-вспомогательный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0.22192151556156969</c:v>
                </c:pt>
                <c:pt idx="1">
                  <c:v>0.51826792963464141</c:v>
                </c:pt>
                <c:pt idx="2">
                  <c:v>2.571041948579161E-2</c:v>
                </c:pt>
                <c:pt idx="3">
                  <c:v>0.23410013531799728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4C-40F6-A5A8-3B73B091301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85792349726776E-3"/>
                  <c:y val="2.00724105628275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295081967213117E-2"/>
                      <c:h val="0.122186495176848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8E7-42E8-8FF3-FB172BADF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</c:v>
                </c:pt>
                <c:pt idx="1">
                  <c:v>педагогические работники</c:v>
                </c:pt>
                <c:pt idx="2">
                  <c:v>учебно-вспомогательный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Лист1!$F$2:$F$5</c:f>
              <c:numCache>
                <c:formatCode>0.0%</c:formatCode>
                <c:ptCount val="4"/>
                <c:pt idx="0">
                  <c:v>0.21099999999999999</c:v>
                </c:pt>
                <c:pt idx="1">
                  <c:v>0.51990000000000003</c:v>
                </c:pt>
                <c:pt idx="2">
                  <c:v>3.9899999999999998E-2</c:v>
                </c:pt>
                <c:pt idx="3">
                  <c:v>0.22900000000000001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7-42E8-8FF3-FB172BADF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9793024"/>
        <c:axId val="169794560"/>
      </c:barChart>
      <c:catAx>
        <c:axId val="16979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794560"/>
        <c:crosses val="autoZero"/>
        <c:auto val="1"/>
        <c:lblAlgn val="ctr"/>
        <c:lblOffset val="100"/>
        <c:noMultiLvlLbl val="0"/>
      </c:catAx>
      <c:valAx>
        <c:axId val="1697945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1697930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педагогических работников, имеющих полную занятость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1505376344086023E-2"/>
          <c:y val="0.19413919413919414"/>
          <c:w val="0.956989247311828"/>
          <c:h val="0.3468255891090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Александровский район</c:v>
                </c:pt>
                <c:pt idx="1">
                  <c:v>Андроповский район</c:v>
                </c:pt>
                <c:pt idx="2">
                  <c:v>Апанасенковский район</c:v>
                </c:pt>
                <c:pt idx="3">
                  <c:v>Арзгирский район</c:v>
                </c:pt>
                <c:pt idx="4">
                  <c:v>Благодарненский городской округ</c:v>
                </c:pt>
                <c:pt idx="5">
                  <c:v>Буденновский район</c:v>
                </c:pt>
                <c:pt idx="6">
                  <c:v>Георгиевский городской округ</c:v>
                </c:pt>
                <c:pt idx="7">
                  <c:v>Грачевский район</c:v>
                </c:pt>
                <c:pt idx="8">
                  <c:v>Изобильненский городской округ</c:v>
                </c:pt>
                <c:pt idx="9">
                  <c:v>Ипатовский городской округ</c:v>
                </c:pt>
                <c:pt idx="10">
                  <c:v>Кировский городской округ</c:v>
                </c:pt>
                <c:pt idx="11">
                  <c:v>Кочубеевский район</c:v>
                </c:pt>
                <c:pt idx="12">
                  <c:v>Красногвардейский район</c:v>
                </c:pt>
                <c:pt idx="13">
                  <c:v>Курский район</c:v>
                </c:pt>
                <c:pt idx="14">
                  <c:v>Левокумский район</c:v>
                </c:pt>
                <c:pt idx="15">
                  <c:v>Минераловодский городской округ</c:v>
                </c:pt>
                <c:pt idx="16">
                  <c:v>Нефтекумский городской округ</c:v>
                </c:pt>
                <c:pt idx="17">
                  <c:v>Новоалександровский городской округ</c:v>
                </c:pt>
                <c:pt idx="18">
                  <c:v>Новоселицкий район</c:v>
                </c:pt>
                <c:pt idx="19">
                  <c:v>Петровский городской округ</c:v>
                </c:pt>
                <c:pt idx="20">
                  <c:v>Предгорный район</c:v>
                </c:pt>
                <c:pt idx="21">
                  <c:v>Советский городской округ</c:v>
                </c:pt>
                <c:pt idx="22">
                  <c:v>Степновский район</c:v>
                </c:pt>
                <c:pt idx="23">
                  <c:v>Труновский район</c:v>
                </c:pt>
                <c:pt idx="24">
                  <c:v>Туркменский район</c:v>
                </c:pt>
                <c:pt idx="25">
                  <c:v>Шпаковский район</c:v>
                </c:pt>
                <c:pt idx="26">
                  <c:v>г. Ессентуки</c:v>
                </c:pt>
                <c:pt idx="27">
                  <c:v>г. Железноводск</c:v>
                </c:pt>
                <c:pt idx="28">
                  <c:v>г. Кисловодск</c:v>
                </c:pt>
                <c:pt idx="29">
                  <c:v>г. Лермонтов</c:v>
                </c:pt>
                <c:pt idx="30">
                  <c:v>г. Невинномысск</c:v>
                </c:pt>
                <c:pt idx="31">
                  <c:v>г. Пятигорск</c:v>
                </c:pt>
                <c:pt idx="32">
                  <c:v>г. Ставрополь</c:v>
                </c:pt>
              </c:strCache>
            </c:strRef>
          </c:cat>
          <c:val>
            <c:numRef>
              <c:f>Лист1!$B$2:$B$34</c:f>
              <c:numCache>
                <c:formatCode>0.00%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0.98040000000000005</c:v>
                </c:pt>
                <c:pt idx="4">
                  <c:v>0.95920000000000005</c:v>
                </c:pt>
                <c:pt idx="5">
                  <c:v>0.96919999999999995</c:v>
                </c:pt>
                <c:pt idx="6">
                  <c:v>0.96879999999999999</c:v>
                </c:pt>
                <c:pt idx="7">
                  <c:v>0.95450000000000002</c:v>
                </c:pt>
                <c:pt idx="8">
                  <c:v>0.90910000000000002</c:v>
                </c:pt>
                <c:pt idx="9">
                  <c:v>1</c:v>
                </c:pt>
                <c:pt idx="10">
                  <c:v>0.96299999999999997</c:v>
                </c:pt>
                <c:pt idx="11">
                  <c:v>0.92710000000000004</c:v>
                </c:pt>
                <c:pt idx="12">
                  <c:v>0.92859999999999998</c:v>
                </c:pt>
                <c:pt idx="13">
                  <c:v>1</c:v>
                </c:pt>
                <c:pt idx="14">
                  <c:v>0.91669999999999996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0.92589999999999995</c:v>
                </c:pt>
                <c:pt idx="22">
                  <c:v>1</c:v>
                </c:pt>
                <c:pt idx="23">
                  <c:v>0.73909999999999998</c:v>
                </c:pt>
                <c:pt idx="24">
                  <c:v>0.94440000000000002</c:v>
                </c:pt>
                <c:pt idx="25">
                  <c:v>0.98209999999999997</c:v>
                </c:pt>
                <c:pt idx="26">
                  <c:v>0.71879999999999999</c:v>
                </c:pt>
                <c:pt idx="27">
                  <c:v>0.96</c:v>
                </c:pt>
                <c:pt idx="28">
                  <c:v>1</c:v>
                </c:pt>
                <c:pt idx="29">
                  <c:v>1</c:v>
                </c:pt>
                <c:pt idx="30">
                  <c:v>0.98809999999999998</c:v>
                </c:pt>
                <c:pt idx="31">
                  <c:v>0.94869999999999999</c:v>
                </c:pt>
                <c:pt idx="32">
                  <c:v>0.93569999999999998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6-40BB-923E-A15EF48B7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overlap val="-20"/>
        <c:axId val="426397824"/>
        <c:axId val="463810848"/>
      </c:barChart>
      <c:lineChart>
        <c:grouping val="percent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5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strRef>
              <c:f>Лист1!$A$2:$A$34</c:f>
              <c:strCache>
                <c:ptCount val="33"/>
                <c:pt idx="0">
                  <c:v>Александровский район</c:v>
                </c:pt>
                <c:pt idx="1">
                  <c:v>Андроповский район</c:v>
                </c:pt>
                <c:pt idx="2">
                  <c:v>Апанасенковский район</c:v>
                </c:pt>
                <c:pt idx="3">
                  <c:v>Арзгирский район</c:v>
                </c:pt>
                <c:pt idx="4">
                  <c:v>Благодарненский городской округ</c:v>
                </c:pt>
                <c:pt idx="5">
                  <c:v>Буденновский район</c:v>
                </c:pt>
                <c:pt idx="6">
                  <c:v>Георгиевский городской округ</c:v>
                </c:pt>
                <c:pt idx="7">
                  <c:v>Грачевский район</c:v>
                </c:pt>
                <c:pt idx="8">
                  <c:v>Изобильненский городской округ</c:v>
                </c:pt>
                <c:pt idx="9">
                  <c:v>Ипатовский городской округ</c:v>
                </c:pt>
                <c:pt idx="10">
                  <c:v>Кировский городской округ</c:v>
                </c:pt>
                <c:pt idx="11">
                  <c:v>Кочубеевский район</c:v>
                </c:pt>
                <c:pt idx="12">
                  <c:v>Красногвардейский район</c:v>
                </c:pt>
                <c:pt idx="13">
                  <c:v>Курский район</c:v>
                </c:pt>
                <c:pt idx="14">
                  <c:v>Левокумский район</c:v>
                </c:pt>
                <c:pt idx="15">
                  <c:v>Минераловодский городской округ</c:v>
                </c:pt>
                <c:pt idx="16">
                  <c:v>Нефтекумский городской округ</c:v>
                </c:pt>
                <c:pt idx="17">
                  <c:v>Новоалександровский городской округ</c:v>
                </c:pt>
                <c:pt idx="18">
                  <c:v>Новоселицкий район</c:v>
                </c:pt>
                <c:pt idx="19">
                  <c:v>Петровский городской округ</c:v>
                </c:pt>
                <c:pt idx="20">
                  <c:v>Предгорный район</c:v>
                </c:pt>
                <c:pt idx="21">
                  <c:v>Советский городской округ</c:v>
                </c:pt>
                <c:pt idx="22">
                  <c:v>Степновский район</c:v>
                </c:pt>
                <c:pt idx="23">
                  <c:v>Труновский район</c:v>
                </c:pt>
                <c:pt idx="24">
                  <c:v>Туркменский район</c:v>
                </c:pt>
                <c:pt idx="25">
                  <c:v>Шпаковский район</c:v>
                </c:pt>
                <c:pt idx="26">
                  <c:v>г. Ессентуки</c:v>
                </c:pt>
                <c:pt idx="27">
                  <c:v>г. Железноводск</c:v>
                </c:pt>
                <c:pt idx="28">
                  <c:v>г. Кисловодск</c:v>
                </c:pt>
                <c:pt idx="29">
                  <c:v>г. Лермонтов</c:v>
                </c:pt>
                <c:pt idx="30">
                  <c:v>г. Невинномысск</c:v>
                </c:pt>
                <c:pt idx="31">
                  <c:v>г. Пятигорск</c:v>
                </c:pt>
                <c:pt idx="32">
                  <c:v>г. Ставрополь</c:v>
                </c:pt>
              </c:strCache>
            </c:strRef>
          </c:cat>
          <c:val>
            <c:numRef>
              <c:f>Лист1!$C$2:$C$34</c:f>
              <c:numCache>
                <c:formatCode>0.00%</c:formatCode>
                <c:ptCount val="33"/>
                <c:pt idx="0">
                  <c:v>0.9546</c:v>
                </c:pt>
                <c:pt idx="1">
                  <c:v>0.9546</c:v>
                </c:pt>
                <c:pt idx="2">
                  <c:v>0.9546</c:v>
                </c:pt>
                <c:pt idx="3">
                  <c:v>0.9546</c:v>
                </c:pt>
                <c:pt idx="4">
                  <c:v>0.9546</c:v>
                </c:pt>
                <c:pt idx="5">
                  <c:v>0.9546</c:v>
                </c:pt>
                <c:pt idx="6">
                  <c:v>0.9546</c:v>
                </c:pt>
                <c:pt idx="7">
                  <c:v>0.9546</c:v>
                </c:pt>
                <c:pt idx="8">
                  <c:v>0.9546</c:v>
                </c:pt>
                <c:pt idx="9">
                  <c:v>0.9546</c:v>
                </c:pt>
                <c:pt idx="10">
                  <c:v>0.9546</c:v>
                </c:pt>
                <c:pt idx="11">
                  <c:v>0.9546</c:v>
                </c:pt>
                <c:pt idx="12">
                  <c:v>0.9546</c:v>
                </c:pt>
                <c:pt idx="13">
                  <c:v>0.9546</c:v>
                </c:pt>
                <c:pt idx="14">
                  <c:v>0.9546</c:v>
                </c:pt>
                <c:pt idx="15">
                  <c:v>0.9546</c:v>
                </c:pt>
                <c:pt idx="16">
                  <c:v>0.9546</c:v>
                </c:pt>
                <c:pt idx="17">
                  <c:v>0.9546</c:v>
                </c:pt>
                <c:pt idx="18">
                  <c:v>0.9546</c:v>
                </c:pt>
                <c:pt idx="19">
                  <c:v>0.9546</c:v>
                </c:pt>
                <c:pt idx="20">
                  <c:v>0.9546</c:v>
                </c:pt>
                <c:pt idx="21">
                  <c:v>0.9546</c:v>
                </c:pt>
                <c:pt idx="22">
                  <c:v>0.9546</c:v>
                </c:pt>
                <c:pt idx="23">
                  <c:v>0.9546</c:v>
                </c:pt>
                <c:pt idx="24">
                  <c:v>0.9546</c:v>
                </c:pt>
                <c:pt idx="25">
                  <c:v>0.9546</c:v>
                </c:pt>
                <c:pt idx="26">
                  <c:v>0.9546</c:v>
                </c:pt>
                <c:pt idx="27">
                  <c:v>0.9546</c:v>
                </c:pt>
                <c:pt idx="28">
                  <c:v>0.9546</c:v>
                </c:pt>
                <c:pt idx="29">
                  <c:v>0.9546</c:v>
                </c:pt>
                <c:pt idx="30">
                  <c:v>0.9546</c:v>
                </c:pt>
                <c:pt idx="31">
                  <c:v>0.9546</c:v>
                </c:pt>
                <c:pt idx="32">
                  <c:v>0.9546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68-43DC-950F-6603EA624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397824"/>
        <c:axId val="463810848"/>
      </c:lineChart>
      <c:catAx>
        <c:axId val="42639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3810848"/>
        <c:crosses val="autoZero"/>
        <c:auto val="1"/>
        <c:lblAlgn val="ctr"/>
        <c:lblOffset val="100"/>
        <c:noMultiLvlLbl val="0"/>
      </c:catAx>
      <c:valAx>
        <c:axId val="463810848"/>
        <c:scaling>
          <c:orientation val="minMax"/>
          <c:max val="1"/>
          <c:min val="0.60000000000000009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42639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педагогических работников ОДО, имеющих высшую и первую</a:t>
            </a:r>
            <a:r>
              <a:rPr lang="en-US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категории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 </c:v>
                </c:pt>
                <c:pt idx="1">
                  <c:v>2017 г. </c:v>
                </c:pt>
                <c:pt idx="2">
                  <c:v>2018 г. </c:v>
                </c:pt>
                <c:pt idx="3">
                  <c:v>2019 г.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0.29799999999999999</c:v>
                </c:pt>
                <c:pt idx="1">
                  <c:v>0.311</c:v>
                </c:pt>
                <c:pt idx="2">
                  <c:v>0.192</c:v>
                </c:pt>
                <c:pt idx="3">
                  <c:v>0.187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8-4854-BE4D-CE3BB0C440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 </c:v>
                </c:pt>
                <c:pt idx="1">
                  <c:v>2017 г. </c:v>
                </c:pt>
                <c:pt idx="2">
                  <c:v>2018 г. </c:v>
                </c:pt>
                <c:pt idx="3">
                  <c:v>2019 г.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0.14599999999999999</c:v>
                </c:pt>
                <c:pt idx="1">
                  <c:v>0.14699999999999999</c:v>
                </c:pt>
                <c:pt idx="2">
                  <c:v>8.3000000000000004E-2</c:v>
                </c:pt>
                <c:pt idx="3">
                  <c:v>9.2999999999999999E-2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8-4854-BE4D-CE3BB0C44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585168"/>
        <c:axId val="379660592"/>
      </c:barChart>
      <c:catAx>
        <c:axId val="5135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9660592"/>
        <c:crosses val="autoZero"/>
        <c:auto val="1"/>
        <c:lblAlgn val="ctr"/>
        <c:lblOffset val="100"/>
        <c:noMultiLvlLbl val="0"/>
      </c:catAx>
      <c:valAx>
        <c:axId val="37966059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135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педагогических работников ОДО, имеющих высшую и первую</a:t>
            </a:r>
            <a:r>
              <a:rPr lang="en-US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категории </a:t>
            </a:r>
          </a:p>
          <a:p>
            <a:pPr>
              <a:defRPr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(статистика на 01.01.2020г.)</a:t>
            </a:r>
          </a:p>
        </c:rich>
      </c:tx>
      <c:overlay val="0"/>
    </c:title>
    <c:autoTitleDeleted val="0"/>
    <c:view3D>
      <c:rotX val="20"/>
      <c:rotY val="2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3433624311338"/>
          <c:y val="0.29884887819984846"/>
          <c:w val="0.64104658696273287"/>
          <c:h val="0.60416477229049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83E-4AE1-875C-EC36707C2860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83E-4AE1-875C-EC36707C2860}"/>
                </c:ext>
              </c:extLst>
            </c:dLbl>
            <c:dLbl>
              <c:idx val="3"/>
              <c:layout>
                <c:manualLayout>
                  <c:x val="0.1088053031404082"/>
                  <c:y val="7.69627029842447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3E-4AE1-875C-EC36707C2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0.187</c:v>
                </c:pt>
                <c:pt idx="1">
                  <c:v>9.3200000000000005E-2</c:v>
                </c:pt>
                <c:pt idx="2">
                  <c:v>0.64200000000000002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3E-4AE1-875C-EC36707C286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91646866317442532"/>
          <c:w val="0.99886577276881927"/>
          <c:h val="8.31702522540331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педагогических и руководящих работников организаций дополнительного образования </a:t>
            </a:r>
          </a:p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(на</a:t>
            </a:r>
            <a:r>
              <a:rPr lang="ru-RU" sz="14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01.01.2020 г.) </a:t>
            </a:r>
            <a:endParaRPr lang="ru-RU" sz="14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367088607594937"/>
          <c:y val="0"/>
        </c:manualLayout>
      </c:layout>
      <c:overlay val="0"/>
    </c:title>
    <c:autoTitleDeleted val="0"/>
    <c:view3D>
      <c:rotX val="2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03841373760862E-2"/>
          <c:y val="0.26143926542944196"/>
          <c:w val="0.58790657496926801"/>
          <c:h val="0.73723576219639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217283232854321E-2"/>
                  <c:y val="-3.483731200266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3E-4ECC-8384-CC4D25F9DD6E}"/>
                </c:ext>
              </c:extLst>
            </c:dLbl>
            <c:dLbl>
              <c:idx val="1"/>
              <c:layout>
                <c:manualLayout>
                  <c:x val="0.12793097492026981"/>
                  <c:y val="-3.3532475107278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3E-4ECC-8384-CC4D25F9DD6E}"/>
                </c:ext>
              </c:extLst>
            </c:dLbl>
            <c:dLbl>
              <c:idx val="2"/>
              <c:layout>
                <c:manualLayout>
                  <c:x val="4.7661008666051573E-2"/>
                  <c:y val="3.365723979036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3E-4ECC-8384-CC4D25F9DD6E}"/>
                </c:ext>
              </c:extLst>
            </c:dLbl>
            <c:dLbl>
              <c:idx val="3"/>
              <c:layout>
                <c:manualLayout>
                  <c:x val="-7.9724978197949978E-2"/>
                  <c:y val="-5.231096112985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3E-4ECC-8384-CC4D25F9D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начальное профессиональное</c:v>
                </c:pt>
                <c:pt idx="3">
                  <c:v>среднее  общее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0.85199999999999998</c:v>
                </c:pt>
                <c:pt idx="1">
                  <c:v>0.13400000000000001</c:v>
                </c:pt>
                <c:pt idx="2">
                  <c:v>6.0000000000000001E-3</c:v>
                </c:pt>
                <c:pt idx="3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3E-4ECC-8384-CC4D25F9D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0.84311</cdr:x>
      <cdr:y>0.09341</cdr:y>
    </cdr:from>
    <cdr:to>
      <cdr:x>0.94282</cdr:x>
      <cdr:y>0.17582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76875" y="323851"/>
          <a:ext cx="647700" cy="2857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95,46%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C12F-55D5-46E9-AF38-2A795EF1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16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2020-06-25T08:31:00Z</cp:lastPrinted>
  <dcterms:created xsi:type="dcterms:W3CDTF">2019-06-27T05:22:00Z</dcterms:created>
  <dcterms:modified xsi:type="dcterms:W3CDTF">2020-06-25T08:35:00Z</dcterms:modified>
</cp:coreProperties>
</file>